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8C7" w:rsidRDefault="00500FC6">
      <w:r>
        <w:rPr>
          <w:noProof/>
          <w:lang w:val="es-ES" w:eastAsia="es-ES"/>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-2408555</wp:posOffset>
            </wp:positionV>
            <wp:extent cx="7772306" cy="12403264"/>
            <wp:effectExtent l="0" t="0" r="63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TALE OF COURAGE AND PASSION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306" cy="12403264"/>
                    </a:xfrm>
                    <a:prstGeom prst="rect">
                      <a:avLst/>
                    </a:prstGeom>
                  </pic:spPr>
                </pic:pic>
              </a:graphicData>
            </a:graphic>
          </wp:anchor>
        </w:drawing>
      </w:r>
    </w:p>
    <w:p w:rsidR="000D38C7" w:rsidRDefault="000D38C7">
      <w:r>
        <w:br w:type="page"/>
      </w:r>
    </w:p>
    <w:p w:rsidR="00500FC6" w:rsidRDefault="00500FC6" w:rsidP="002F71E6">
      <w:pPr>
        <w:autoSpaceDE w:val="0"/>
        <w:autoSpaceDN w:val="0"/>
        <w:adjustRightInd w:val="0"/>
        <w:spacing w:after="0"/>
        <w:jc w:val="both"/>
        <w:rPr>
          <w:rFonts w:ascii="Century Gothic" w:hAnsi="Century Gothic"/>
          <w:b/>
          <w:sz w:val="24"/>
          <w:szCs w:val="24"/>
        </w:rPr>
      </w:pPr>
    </w:p>
    <w:p w:rsidR="00500FC6" w:rsidRDefault="00500FC6" w:rsidP="002F71E6">
      <w:pPr>
        <w:autoSpaceDE w:val="0"/>
        <w:autoSpaceDN w:val="0"/>
        <w:adjustRightInd w:val="0"/>
        <w:spacing w:after="0"/>
        <w:jc w:val="both"/>
        <w:rPr>
          <w:rFonts w:ascii="Century Gothic" w:hAnsi="Century Gothic"/>
          <w:b/>
          <w:sz w:val="24"/>
          <w:szCs w:val="24"/>
        </w:rPr>
      </w:pPr>
    </w:p>
    <w:p w:rsidR="002F71E6" w:rsidRPr="003B1CCD" w:rsidRDefault="00500FC6" w:rsidP="002F71E6">
      <w:pPr>
        <w:autoSpaceDE w:val="0"/>
        <w:autoSpaceDN w:val="0"/>
        <w:adjustRightInd w:val="0"/>
        <w:spacing w:after="0"/>
        <w:jc w:val="both"/>
        <w:rPr>
          <w:rFonts w:ascii="Century Gothic" w:hAnsi="Century Gothic"/>
          <w:b/>
          <w:sz w:val="24"/>
          <w:szCs w:val="24"/>
        </w:rPr>
      </w:pPr>
      <w:r>
        <w:rPr>
          <w:rFonts w:ascii="Century Gothic" w:hAnsi="Century Gothic"/>
          <w:b/>
          <w:sz w:val="24"/>
          <w:szCs w:val="24"/>
        </w:rPr>
        <w:t xml:space="preserve">Índice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1.-</w:t>
      </w:r>
      <w:r w:rsidRPr="003B1CCD">
        <w:rPr>
          <w:rFonts w:ascii="Century Gothic" w:hAnsi="Century Gothic"/>
          <w:sz w:val="24"/>
          <w:szCs w:val="24"/>
        </w:rPr>
        <w:t xml:space="preserve"> Introducción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 xml:space="preserve">2.- </w:t>
      </w:r>
      <w:r w:rsidRPr="003B1CCD">
        <w:rPr>
          <w:rFonts w:ascii="Century Gothic" w:hAnsi="Century Gothic"/>
          <w:sz w:val="24"/>
          <w:szCs w:val="24"/>
        </w:rPr>
        <w:t xml:space="preserve">Datos generales del Fondo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3.-</w:t>
      </w:r>
      <w:r w:rsidRPr="003B1CCD">
        <w:rPr>
          <w:rFonts w:ascii="Century Gothic" w:hAnsi="Century Gothic"/>
          <w:sz w:val="24"/>
          <w:szCs w:val="24"/>
        </w:rPr>
        <w:t xml:space="preserve"> Resultados logrados por el Fondo de Aportaciones para la Nómina Educativa y el Gasto Operativo (FONE)</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3.1.-</w:t>
      </w:r>
      <w:r w:rsidRPr="003B1CCD">
        <w:rPr>
          <w:rFonts w:ascii="Century Gothic" w:hAnsi="Century Gothic"/>
          <w:sz w:val="24"/>
          <w:szCs w:val="24"/>
        </w:rPr>
        <w:t xml:space="preserve"> Análisis del cumplimiento de los objetivos y metas establecidos.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3.2.-</w:t>
      </w:r>
      <w:r w:rsidRPr="003B1CCD">
        <w:rPr>
          <w:rFonts w:ascii="Century Gothic" w:hAnsi="Century Gothic"/>
          <w:sz w:val="24"/>
          <w:szCs w:val="24"/>
        </w:rPr>
        <w:t xml:space="preserve"> Análisis de indicadores con que cuenta el fondo y avances presentados.</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r>
      <w:r w:rsidRPr="003B1CCD">
        <w:rPr>
          <w:rFonts w:ascii="Century Gothic" w:hAnsi="Century Gothic"/>
          <w:b/>
          <w:sz w:val="24"/>
          <w:szCs w:val="24"/>
        </w:rPr>
        <w:t>3.3.-</w:t>
      </w:r>
      <w:r w:rsidRPr="003B1CCD">
        <w:rPr>
          <w:rFonts w:ascii="Century Gothic" w:hAnsi="Century Gothic"/>
          <w:sz w:val="24"/>
          <w:szCs w:val="24"/>
        </w:rPr>
        <w:t xml:space="preserve"> Análisis del presupuesto original, modificador y ejercido.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4.-</w:t>
      </w:r>
      <w:r w:rsidRPr="003B1CCD">
        <w:rPr>
          <w:rFonts w:ascii="Century Gothic" w:hAnsi="Century Gothic"/>
          <w:sz w:val="24"/>
          <w:szCs w:val="24"/>
        </w:rPr>
        <w:t xml:space="preserve"> Análisis de Cobertura de la población potencial, población objetivo y  cobertura de atención.</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5.-</w:t>
      </w:r>
      <w:r w:rsidRPr="003B1CCD">
        <w:rPr>
          <w:rFonts w:ascii="Century Gothic" w:hAnsi="Century Gothic"/>
          <w:sz w:val="24"/>
          <w:szCs w:val="24"/>
        </w:rPr>
        <w:t xml:space="preserve"> Análisis de las recomendaciones atendidas y los avances de aspectos susceptibles de mejora.</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6.-</w:t>
      </w:r>
      <w:r w:rsidRPr="003B1CCD">
        <w:rPr>
          <w:rFonts w:ascii="Century Gothic" w:hAnsi="Century Gothic"/>
          <w:sz w:val="24"/>
          <w:szCs w:val="24"/>
        </w:rPr>
        <w:t xml:space="preserve"> Conclusiones y recomendaciones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Análisis FODA</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 xml:space="preserve">Conclusiones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sz w:val="24"/>
          <w:szCs w:val="24"/>
        </w:rPr>
        <w:tab/>
        <w:t xml:space="preserve">Recomendaciones </w:t>
      </w:r>
    </w:p>
    <w:p w:rsidR="002F71E6" w:rsidRPr="003B1CCD" w:rsidRDefault="002F71E6" w:rsidP="002F71E6">
      <w:pPr>
        <w:autoSpaceDE w:val="0"/>
        <w:autoSpaceDN w:val="0"/>
        <w:adjustRightInd w:val="0"/>
        <w:spacing w:after="0" w:line="360" w:lineRule="auto"/>
        <w:jc w:val="both"/>
        <w:rPr>
          <w:rFonts w:ascii="Century Gothic" w:hAnsi="Century Gothic"/>
          <w:sz w:val="24"/>
          <w:szCs w:val="24"/>
        </w:rPr>
      </w:pPr>
      <w:r w:rsidRPr="003B1CCD">
        <w:rPr>
          <w:rFonts w:ascii="Century Gothic" w:hAnsi="Century Gothic"/>
          <w:b/>
          <w:sz w:val="24"/>
          <w:szCs w:val="24"/>
        </w:rPr>
        <w:t>7.-</w:t>
      </w:r>
      <w:r w:rsidRPr="003B1CCD">
        <w:rPr>
          <w:rFonts w:ascii="Century Gothic" w:hAnsi="Century Gothic"/>
          <w:sz w:val="24"/>
          <w:szCs w:val="24"/>
        </w:rPr>
        <w:t xml:space="preserve"> Fuentes de Información y Anexos </w:t>
      </w: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Default="002F71E6" w:rsidP="002F71E6">
      <w:pPr>
        <w:rPr>
          <w:rFonts w:ascii="Century Gothic" w:hAnsi="Century Gothic"/>
          <w:b/>
          <w:sz w:val="24"/>
          <w:szCs w:val="24"/>
        </w:rPr>
      </w:pPr>
    </w:p>
    <w:p w:rsidR="00500FC6" w:rsidRPr="003B1CCD" w:rsidRDefault="00500FC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p>
    <w:p w:rsidR="002F71E6" w:rsidRPr="003B1CCD" w:rsidRDefault="002F71E6" w:rsidP="002F71E6">
      <w:pPr>
        <w:rPr>
          <w:rFonts w:ascii="Century Gothic" w:hAnsi="Century Gothic"/>
          <w:b/>
          <w:sz w:val="24"/>
          <w:szCs w:val="24"/>
        </w:rPr>
      </w:pPr>
      <w:bookmarkStart w:id="0" w:name="_GoBack"/>
      <w:bookmarkEnd w:id="0"/>
    </w:p>
    <w:p w:rsidR="002F71E6" w:rsidRPr="003B1CCD" w:rsidRDefault="002F71E6" w:rsidP="002F71E6">
      <w:pPr>
        <w:rPr>
          <w:rFonts w:ascii="Century Gothic" w:hAnsi="Century Gothic"/>
          <w:b/>
          <w:sz w:val="24"/>
          <w:szCs w:val="24"/>
        </w:rPr>
      </w:pPr>
      <w:r w:rsidRPr="003B1CCD">
        <w:rPr>
          <w:rFonts w:ascii="Century Gothic" w:hAnsi="Century Gothic"/>
          <w:b/>
          <w:sz w:val="24"/>
          <w:szCs w:val="24"/>
        </w:rPr>
        <w:lastRenderedPageBreak/>
        <w:t xml:space="preserve">1.- Introducción </w:t>
      </w:r>
    </w:p>
    <w:p w:rsidR="002F71E6" w:rsidRPr="003B1CCD" w:rsidRDefault="002F71E6" w:rsidP="002F71E6">
      <w:pPr>
        <w:jc w:val="both"/>
        <w:rPr>
          <w:rFonts w:ascii="Century Gothic" w:hAnsi="Century Gothic"/>
          <w:b/>
          <w:sz w:val="24"/>
          <w:szCs w:val="24"/>
        </w:rPr>
      </w:pPr>
    </w:p>
    <w:p w:rsidR="002F71E6" w:rsidRPr="003B1CCD" w:rsidRDefault="002F71E6" w:rsidP="002F71E6">
      <w:pPr>
        <w:jc w:val="both"/>
        <w:rPr>
          <w:rFonts w:ascii="Century Gothic" w:hAnsi="Century Gothic"/>
          <w:sz w:val="24"/>
          <w:szCs w:val="24"/>
        </w:rPr>
      </w:pPr>
      <w:r w:rsidRPr="003B1CCD">
        <w:rPr>
          <w:rFonts w:ascii="Century Gothic" w:hAnsi="Century Gothic"/>
          <w:sz w:val="24"/>
          <w:szCs w:val="24"/>
        </w:rPr>
        <w:t xml:space="preserve">La presente Evaluación se llevó a cabo de acuerdo al análisis en el contexto educativo nacional y en específico para el Estado de Baja California a través de los diferentes documentos estadísticos publicado en fuentes oficiales, sobre todo, de la Secretaría de Educación Pública (SEP). </w:t>
      </w:r>
    </w:p>
    <w:p w:rsidR="002F71E6" w:rsidRPr="003B1CCD" w:rsidRDefault="002F71E6" w:rsidP="002F71E6">
      <w:pPr>
        <w:autoSpaceDE w:val="0"/>
        <w:autoSpaceDN w:val="0"/>
        <w:adjustRightInd w:val="0"/>
        <w:spacing w:after="0"/>
        <w:jc w:val="both"/>
        <w:rPr>
          <w:rFonts w:ascii="Century Gothic" w:hAnsi="Century Gothic" w:cs="Calibri"/>
          <w:color w:val="000000"/>
          <w:sz w:val="24"/>
          <w:szCs w:val="24"/>
        </w:rPr>
      </w:pPr>
      <w:r w:rsidRPr="003B1CCD">
        <w:rPr>
          <w:rFonts w:ascii="Century Gothic" w:hAnsi="Century Gothic" w:cs="Calibri"/>
          <w:color w:val="000000"/>
          <w:sz w:val="24"/>
          <w:szCs w:val="24"/>
        </w:rPr>
        <w:t xml:space="preserve">Con la información obtenida se adquirió el contexto para dar inicio con el análisis central del presente documento, la Evaluación Específica del Desempeño del Fondo de Aportaciones para Nómina Educativa y el Gasto Operativo en el Estado de Baja California, el cual abarca los siguientes puntos: </w:t>
      </w:r>
    </w:p>
    <w:p w:rsidR="002F71E6" w:rsidRPr="003B1CCD" w:rsidRDefault="002F71E6" w:rsidP="002F71E6">
      <w:pPr>
        <w:autoSpaceDE w:val="0"/>
        <w:autoSpaceDN w:val="0"/>
        <w:adjustRightInd w:val="0"/>
        <w:spacing w:after="0"/>
        <w:jc w:val="both"/>
        <w:rPr>
          <w:rFonts w:ascii="Century Gothic" w:hAnsi="Century Gothic" w:cs="Calibri"/>
          <w:color w:val="000000"/>
          <w:sz w:val="24"/>
          <w:szCs w:val="24"/>
        </w:rPr>
      </w:pPr>
    </w:p>
    <w:p w:rsidR="002F71E6" w:rsidRPr="003B1CCD"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Resultados obtenidos en el desempeño de los objetivos y metas planteados, </w:t>
      </w:r>
    </w:p>
    <w:p w:rsidR="002F71E6" w:rsidRPr="003B1CCD"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Indicadores de resultado,</w:t>
      </w:r>
    </w:p>
    <w:p w:rsidR="002F71E6" w:rsidRPr="003B1CCD"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Desempeño presupuestal del Fondo, y</w:t>
      </w:r>
    </w:p>
    <w:p w:rsidR="002F71E6" w:rsidRPr="003B1CCD" w:rsidRDefault="002F71E6" w:rsidP="002F71E6">
      <w:pPr>
        <w:pStyle w:val="Prrafodelista"/>
        <w:numPr>
          <w:ilvl w:val="0"/>
          <w:numId w:val="4"/>
        </w:num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Análisis FODA (Fortalezas, Oportunidades, Debilidades y Amenazas).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Los cuales se analizaron tanto con investigación de gabinete como a través </w:t>
      </w:r>
      <w:r w:rsidRPr="00406AE8">
        <w:rPr>
          <w:rFonts w:ascii="Century Gothic" w:hAnsi="Century Gothic" w:cs="Arial"/>
          <w:sz w:val="24"/>
          <w:szCs w:val="24"/>
        </w:rPr>
        <w:t>de entrevistas a funcionarios que operan el Fondo.</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El Fondo</w:t>
      </w:r>
      <w:r w:rsidRPr="003B1CCD">
        <w:rPr>
          <w:rFonts w:ascii="Century Gothic" w:hAnsi="Century Gothic" w:cs="Arial"/>
          <w:sz w:val="24"/>
          <w:szCs w:val="24"/>
        </w:rPr>
        <w:t xml:space="preserve"> tiene como objetivo el apoyar a las Entidades Federativas para que cumplan sus funciones en materia de educación básica y normal, hay que recordar que el derecho a la educación en nuestro País se encuentra contenido en la Constitución Política de los Estados Unidos Mexicanos en su Artículo Tercero, el cual establece que todo individuo tiene derecho a recibir educación por lo cual el Estado (Federación, Estados, Distrito Federal y Municipios), impartirá educación preescolar, primaria, secundaria y media superior; las tres primeras conforman la educación básica la cual es obligatoria al igual que la educación media superior. Por lo anterior expuesto, se considera de especial relevancia la Evaluación presentada.</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lastRenderedPageBreak/>
        <w:t>2.- Datos Generales del Fondo</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Nombre</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Fondo de Aportaciones para la Nómina Educativa y el Gasto Operativo (FONE)</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Entidad Paraestatal responsable del Fondo</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La Entidad Paraestatal responsable de este fondo es el </w:t>
      </w:r>
      <w:r w:rsidRPr="003B1CCD">
        <w:rPr>
          <w:rFonts w:ascii="Century Gothic" w:hAnsi="Century Gothic" w:cs="Arial"/>
          <w:sz w:val="24"/>
          <w:szCs w:val="24"/>
        </w:rPr>
        <w:t>Instituto de Servicios Educativos y Pedagógicos del Estado de Baja California. (ISEP)</w:t>
      </w:r>
      <w:r>
        <w:rPr>
          <w:rFonts w:ascii="Century Gothic" w:hAnsi="Century Gothic" w:cs="Arial"/>
          <w:sz w:val="24"/>
          <w:szCs w:val="24"/>
        </w:rPr>
        <w:t xml:space="preserve">, mientras que la </w:t>
      </w:r>
      <w:r w:rsidRPr="003B1CCD">
        <w:rPr>
          <w:rFonts w:ascii="Century Gothic" w:hAnsi="Century Gothic" w:cs="Arial"/>
          <w:sz w:val="24"/>
          <w:szCs w:val="24"/>
        </w:rPr>
        <w:t xml:space="preserve"> Dirección de Planeación, Programación y Presupuesto, es la Unidad Responsable de brindar la información a través del Sistema del Formato Único (SFU) de la Secretaría de Hacienda y Crédito Público todos los avances.</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Presupuesto autorizado, modificado y ejercido. </w:t>
      </w:r>
    </w:p>
    <w:p w:rsidR="002F71E6" w:rsidRDefault="002F71E6" w:rsidP="002F71E6">
      <w:pPr>
        <w:autoSpaceDE w:val="0"/>
        <w:autoSpaceDN w:val="0"/>
        <w:adjustRightInd w:val="0"/>
        <w:spacing w:after="0"/>
        <w:jc w:val="both"/>
        <w:rPr>
          <w:rFonts w:ascii="Century Gothic" w:hAnsi="Century Gothic" w:cs="Arial"/>
          <w:b/>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El Fondo de Aportaciones para la nómina Educativa y el Gasto Operativo (FONE), tiene las siguientes asignaciones autorizadas para el Estado de Baja California: </w:t>
      </w:r>
    </w:p>
    <w:p w:rsidR="002F71E6" w:rsidRPr="003B1CCD" w:rsidRDefault="002F71E6" w:rsidP="002F71E6">
      <w:pPr>
        <w:autoSpaceDE w:val="0"/>
        <w:autoSpaceDN w:val="0"/>
        <w:adjustRightInd w:val="0"/>
        <w:spacing w:after="0"/>
        <w:jc w:val="both"/>
        <w:rPr>
          <w:rFonts w:ascii="Century Gothic" w:hAnsi="Century Gothic"/>
          <w:sz w:val="24"/>
          <w:szCs w:val="24"/>
        </w:rPr>
      </w:pPr>
    </w:p>
    <w:tbl>
      <w:tblPr>
        <w:tblStyle w:val="Tablaconcuadrcula"/>
        <w:tblW w:w="9287" w:type="dxa"/>
        <w:jc w:val="center"/>
        <w:tblLook w:val="04A0" w:firstRow="1" w:lastRow="0" w:firstColumn="1" w:lastColumn="0" w:noHBand="0" w:noVBand="1"/>
      </w:tblPr>
      <w:tblGrid>
        <w:gridCol w:w="2862"/>
        <w:gridCol w:w="2068"/>
        <w:gridCol w:w="2481"/>
        <w:gridCol w:w="1876"/>
      </w:tblGrid>
      <w:tr w:rsidR="002F71E6" w:rsidRPr="00A12907" w:rsidTr="000D38C7">
        <w:trPr>
          <w:trHeight w:val="680"/>
          <w:jc w:val="center"/>
        </w:trPr>
        <w:tc>
          <w:tcPr>
            <w:tcW w:w="2862"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p>
        </w:tc>
        <w:tc>
          <w:tcPr>
            <w:tcW w:w="2068"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Asignación inicial</w:t>
            </w:r>
          </w:p>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FONE -SHCP</w:t>
            </w:r>
          </w:p>
        </w:tc>
        <w:tc>
          <w:tcPr>
            <w:tcW w:w="2481"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Presupuesto Modificado</w:t>
            </w:r>
          </w:p>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FONE-SHCP-SFU</w:t>
            </w:r>
          </w:p>
        </w:tc>
        <w:tc>
          <w:tcPr>
            <w:tcW w:w="1876"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Presupuesto Pagado</w:t>
            </w:r>
            <w:r>
              <w:rPr>
                <w:rFonts w:ascii="Century Gothic" w:hAnsi="Century Gothic"/>
                <w:b/>
                <w:sz w:val="20"/>
                <w:szCs w:val="20"/>
              </w:rPr>
              <w:t xml:space="preserve"> FONE -SHCP</w:t>
            </w:r>
          </w:p>
        </w:tc>
      </w:tr>
      <w:tr w:rsidR="002F71E6" w:rsidRPr="00A12907" w:rsidTr="000D38C7">
        <w:trPr>
          <w:trHeight w:val="87"/>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Servicios Personales</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9’481,569,345.98</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9’481,569,346.02</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4,531,242,260.95</w:t>
            </w:r>
          </w:p>
        </w:tc>
      </w:tr>
      <w:tr w:rsidR="002F71E6" w:rsidRPr="00A12907" w:rsidTr="000D38C7">
        <w:trPr>
          <w:trHeight w:val="223"/>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 xml:space="preserve">Gastos de Operación </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1’045,216,724.10</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1’043,648,899.10</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902,110,124.00</w:t>
            </w:r>
          </w:p>
        </w:tc>
      </w:tr>
      <w:tr w:rsidR="002F71E6" w:rsidRPr="00A12907" w:rsidTr="000D38C7">
        <w:trPr>
          <w:trHeight w:val="87"/>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 xml:space="preserve">Fondo de Compensación </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199’656,015.03</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199’356,530.98</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99’678,260.00</w:t>
            </w:r>
          </w:p>
        </w:tc>
      </w:tr>
      <w:tr w:rsidR="002F71E6" w:rsidRPr="00A12907" w:rsidTr="000D38C7">
        <w:trPr>
          <w:trHeight w:val="88"/>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Total</w:t>
            </w:r>
          </w:p>
        </w:tc>
        <w:tc>
          <w:tcPr>
            <w:tcW w:w="2068" w:type="dxa"/>
          </w:tcPr>
          <w:p w:rsidR="002F71E6" w:rsidRPr="00A12907" w:rsidRDefault="002F71E6" w:rsidP="000D38C7">
            <w:pPr>
              <w:autoSpaceDE w:val="0"/>
              <w:autoSpaceDN w:val="0"/>
              <w:adjustRightInd w:val="0"/>
              <w:jc w:val="right"/>
              <w:rPr>
                <w:rFonts w:ascii="Century Gothic" w:hAnsi="Century Gothic"/>
                <w:b/>
                <w:sz w:val="20"/>
                <w:szCs w:val="20"/>
              </w:rPr>
            </w:pPr>
            <w:r w:rsidRPr="00A12907">
              <w:rPr>
                <w:rFonts w:ascii="Century Gothic" w:hAnsi="Century Gothic"/>
                <w:b/>
                <w:sz w:val="20"/>
                <w:szCs w:val="20"/>
              </w:rPr>
              <w:t>10’726,442,085.11</w:t>
            </w:r>
          </w:p>
        </w:tc>
        <w:tc>
          <w:tcPr>
            <w:tcW w:w="2481" w:type="dxa"/>
          </w:tcPr>
          <w:p w:rsidR="002F71E6" w:rsidRPr="00A12907" w:rsidRDefault="002F71E6" w:rsidP="000D38C7">
            <w:pPr>
              <w:jc w:val="right"/>
              <w:rPr>
                <w:rFonts w:ascii="Century Gothic" w:hAnsi="Century Gothic" w:cs="Calibri"/>
                <w:b/>
                <w:color w:val="000000"/>
                <w:sz w:val="20"/>
                <w:szCs w:val="20"/>
              </w:rPr>
            </w:pPr>
            <w:r w:rsidRPr="00A12907">
              <w:rPr>
                <w:rFonts w:ascii="Century Gothic" w:hAnsi="Century Gothic" w:cs="Calibri"/>
                <w:b/>
                <w:color w:val="000000"/>
                <w:sz w:val="20"/>
                <w:szCs w:val="20"/>
              </w:rPr>
              <w:t>10’724,574,776.10</w:t>
            </w:r>
          </w:p>
        </w:tc>
        <w:tc>
          <w:tcPr>
            <w:tcW w:w="1876" w:type="dxa"/>
          </w:tcPr>
          <w:p w:rsidR="002F71E6" w:rsidRPr="00A12907" w:rsidRDefault="002F71E6" w:rsidP="000D38C7">
            <w:pPr>
              <w:autoSpaceDE w:val="0"/>
              <w:autoSpaceDN w:val="0"/>
              <w:adjustRightInd w:val="0"/>
              <w:jc w:val="right"/>
              <w:rPr>
                <w:rFonts w:ascii="Century Gothic" w:hAnsi="Century Gothic"/>
                <w:b/>
                <w:sz w:val="20"/>
                <w:szCs w:val="20"/>
              </w:rPr>
            </w:pPr>
            <w:r>
              <w:rPr>
                <w:rFonts w:ascii="Century Gothic" w:hAnsi="Century Gothic"/>
                <w:b/>
                <w:sz w:val="20"/>
                <w:szCs w:val="20"/>
              </w:rPr>
              <w:t>5’533,030,644.95</w:t>
            </w:r>
          </w:p>
        </w:tc>
      </w:tr>
    </w:tbl>
    <w:p w:rsidR="002F71E6" w:rsidRPr="006D71E1" w:rsidRDefault="002F71E6" w:rsidP="002F71E6">
      <w:pPr>
        <w:autoSpaceDE w:val="0"/>
        <w:autoSpaceDN w:val="0"/>
        <w:adjustRightInd w:val="0"/>
        <w:spacing w:after="0"/>
        <w:jc w:val="both"/>
        <w:rPr>
          <w:rFonts w:ascii="Century Gothic" w:hAnsi="Century Gothic"/>
          <w:szCs w:val="24"/>
        </w:rPr>
      </w:pPr>
      <w:r w:rsidRPr="006D71E1">
        <w:rPr>
          <w:rFonts w:ascii="Century Gothic" w:hAnsi="Century Gothic"/>
          <w:b/>
          <w:szCs w:val="24"/>
        </w:rPr>
        <w:t>Fuente:</w:t>
      </w:r>
      <w:r w:rsidRPr="006D71E1">
        <w:rPr>
          <w:rFonts w:ascii="Century Gothic" w:hAnsi="Century Gothic"/>
          <w:szCs w:val="24"/>
        </w:rPr>
        <w:t xml:space="preserve"> Informes sobre la Situación Económica, las Finanzas Públicas y la Deuda Pública. Baja California. Segundo Trimestre 2017.</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Objetivos del Fondo</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ind w:firstLine="708"/>
        <w:jc w:val="both"/>
        <w:rPr>
          <w:rFonts w:ascii="Century Gothic" w:hAnsi="Century Gothic"/>
          <w:b/>
          <w:sz w:val="24"/>
          <w:szCs w:val="24"/>
        </w:rPr>
      </w:pPr>
      <w:r w:rsidRPr="003B1CCD">
        <w:rPr>
          <w:rFonts w:ascii="Century Gothic" w:hAnsi="Century Gothic"/>
          <w:b/>
          <w:sz w:val="24"/>
          <w:szCs w:val="24"/>
        </w:rPr>
        <w:t>Objetivo General</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Garantizar que los niños y niñas tengan acceso a los servicios de educación básica y puedan culminar sus estudios; proponiendo los contenidos regionales de los planes y programas de estudio para la </w:t>
      </w:r>
      <w:r w:rsidRPr="003B1CCD">
        <w:rPr>
          <w:rFonts w:ascii="Century Gothic" w:hAnsi="Century Gothic"/>
          <w:sz w:val="24"/>
          <w:szCs w:val="24"/>
        </w:rPr>
        <w:lastRenderedPageBreak/>
        <w:t>educación preescolar, la primaria, la secundaria, la normal y demás para la formación de maestros de educación básica.</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Es decir, cumplir con lo que establece la Ley de Coordinación Fiscal en su artículo 26 y por la Ley General de Educación en sus artículos 13 (atribuciones que les corresponde atender de manera exclusiva a las autoridades educativas locales) y 16 (observancia a lo dispuesto por la Ley General del Servicio Profesional Docente)</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ab/>
        <w:t>Metas planteadas</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t xml:space="preserve">Matriz de Indicadores del Fondo de Aportaciones para la Nómina Educativa y Gasto Operativo. </w:t>
      </w:r>
    </w:p>
    <w:tbl>
      <w:tblPr>
        <w:tblStyle w:val="Sombreadoclaro"/>
        <w:tblW w:w="9759" w:type="dxa"/>
        <w:tblLayout w:type="fixed"/>
        <w:tblLook w:val="04A0" w:firstRow="1" w:lastRow="0" w:firstColumn="1" w:lastColumn="0" w:noHBand="0" w:noVBand="1"/>
      </w:tblPr>
      <w:tblGrid>
        <w:gridCol w:w="1809"/>
        <w:gridCol w:w="7950"/>
      </w:tblGrid>
      <w:tr w:rsidR="002F71E6" w:rsidRPr="00A12907" w:rsidTr="000D38C7">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Nivel</w:t>
            </w:r>
          </w:p>
        </w:tc>
        <w:tc>
          <w:tcPr>
            <w:tcW w:w="7950" w:type="dxa"/>
            <w:noWrap/>
            <w:vAlign w:val="center"/>
          </w:tcPr>
          <w:p w:rsidR="002F71E6" w:rsidRPr="00A12907" w:rsidRDefault="002F71E6" w:rsidP="000D38C7">
            <w:pPr>
              <w:spacing w:line="360"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Objetivo del indicador</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7950" w:type="dxa"/>
            <w:shd w:val="clear" w:color="auto" w:fill="auto"/>
            <w:vAlign w:val="center"/>
          </w:tcPr>
          <w:p w:rsidR="002F71E6" w:rsidRPr="00A12907" w:rsidRDefault="002F71E6" w:rsidP="000D38C7">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Contribuir a asegurar la calidad de los aprendizajes en la educación básica y la formación integral de todos los grupos de la población mediante la aplicación de los recursos del Fondo de Aportaciones para la Nómina Educativa y Gasto Operativo (FONE) para apoyar la prestación de los servicios educativos en las entidades federativas, </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7950" w:type="dxa"/>
            <w:shd w:val="clear" w:color="auto" w:fill="D9D9D9" w:themeFill="background1" w:themeFillShade="D9"/>
            <w:vAlign w:val="center"/>
          </w:tcPr>
          <w:p w:rsidR="002F71E6" w:rsidRPr="00A12907" w:rsidRDefault="002F71E6" w:rsidP="000D38C7">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La población en edad de asistir a la escuela tiene acceso y concluye sus estudios de educación básica, incluyendo la indígena y especial, derivado de la aplicación de los recursos del Fondo de Aportaciones para la Nómina Educativa y Gasto Operativo (FONE)</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7950" w:type="dxa"/>
            <w:shd w:val="clear" w:color="auto" w:fill="auto"/>
            <w:vAlign w:val="center"/>
          </w:tcPr>
          <w:p w:rsidR="002F71E6" w:rsidRPr="00A12907" w:rsidRDefault="002F71E6" w:rsidP="000D38C7">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Servicios educativos de tipo básico otorgados por las Entidades Federativas</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809" w:type="dxa"/>
            <w:shd w:val="clear" w:color="auto" w:fill="D9D9D9" w:themeFill="background1" w:themeFillShade="D9"/>
            <w:noWrap/>
            <w:vAlign w:val="center"/>
            <w:hideMark/>
          </w:tcPr>
          <w:p w:rsidR="002F71E6" w:rsidRPr="00A12907" w:rsidRDefault="002F71E6" w:rsidP="000D38C7">
            <w:pPr>
              <w:spacing w:line="360" w:lineRule="auto"/>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7950" w:type="dxa"/>
            <w:shd w:val="clear" w:color="auto" w:fill="D9D9D9" w:themeFill="background1" w:themeFillShade="D9"/>
            <w:vAlign w:val="center"/>
          </w:tcPr>
          <w:p w:rsidR="002F71E6" w:rsidRPr="00A12907" w:rsidRDefault="002F71E6" w:rsidP="000D38C7">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Atención de la Matricula de educación básica con plazas federalizadas en la entidad federativa. </w:t>
            </w:r>
          </w:p>
        </w:tc>
      </w:tr>
    </w:tbl>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Lo que genera los siguientes indicadores: </w:t>
      </w:r>
    </w:p>
    <w:p w:rsidR="002F71E6" w:rsidRPr="003B1CCD" w:rsidRDefault="002F71E6" w:rsidP="002F71E6">
      <w:pPr>
        <w:autoSpaceDE w:val="0"/>
        <w:autoSpaceDN w:val="0"/>
        <w:adjustRightInd w:val="0"/>
        <w:spacing w:after="0"/>
        <w:jc w:val="both"/>
        <w:rPr>
          <w:rFonts w:ascii="Century Gothic" w:hAnsi="Century Gothic"/>
          <w:b/>
          <w:sz w:val="24"/>
          <w:szCs w:val="24"/>
        </w:rPr>
      </w:pPr>
    </w:p>
    <w:tbl>
      <w:tblPr>
        <w:tblStyle w:val="Sombreadoclaro"/>
        <w:tblW w:w="9759" w:type="dxa"/>
        <w:tblLayout w:type="fixed"/>
        <w:tblLook w:val="04A0" w:firstRow="1" w:lastRow="0" w:firstColumn="1" w:lastColumn="0" w:noHBand="0" w:noVBand="1"/>
      </w:tblPr>
      <w:tblGrid>
        <w:gridCol w:w="1526"/>
        <w:gridCol w:w="2742"/>
        <w:gridCol w:w="1369"/>
        <w:gridCol w:w="1417"/>
        <w:gridCol w:w="1559"/>
        <w:gridCol w:w="1146"/>
      </w:tblGrid>
      <w:tr w:rsidR="002F71E6" w:rsidRPr="00A12907" w:rsidTr="000D38C7">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NIVEL </w:t>
            </w:r>
          </w:p>
        </w:tc>
        <w:tc>
          <w:tcPr>
            <w:tcW w:w="2742" w:type="dxa"/>
            <w:noWrap/>
            <w:vAlign w:val="center"/>
            <w:hideMark/>
          </w:tcPr>
          <w:p w:rsidR="002F71E6" w:rsidRPr="00A12907" w:rsidRDefault="002F71E6" w:rsidP="000D38C7">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NOMBRE DEL INDICADOR</w:t>
            </w:r>
          </w:p>
        </w:tc>
        <w:tc>
          <w:tcPr>
            <w:tcW w:w="1369" w:type="dxa"/>
            <w:vAlign w:val="center"/>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TIPO DEL INDICADOR</w:t>
            </w:r>
          </w:p>
        </w:tc>
        <w:tc>
          <w:tcPr>
            <w:tcW w:w="1417" w:type="dxa"/>
            <w:noWrap/>
            <w:vAlign w:val="center"/>
            <w:hideMark/>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DIMENSIÓN</w:t>
            </w:r>
          </w:p>
        </w:tc>
        <w:tc>
          <w:tcPr>
            <w:tcW w:w="1559" w:type="dxa"/>
            <w:noWrap/>
            <w:vAlign w:val="center"/>
            <w:hideMark/>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META PROGRAMADA</w:t>
            </w:r>
          </w:p>
        </w:tc>
        <w:tc>
          <w:tcPr>
            <w:tcW w:w="1146" w:type="dxa"/>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AVANCE AL 2DO TRIMESTRE</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2742" w:type="dxa"/>
            <w:shd w:val="clear" w:color="auto" w:fill="auto"/>
            <w:vAlign w:val="center"/>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Porcentaje de estudiantes que obtienen el nivel de logro educativo insuficiente en los dominios de español y matemáticas evaluadas </w:t>
            </w:r>
            <w:r w:rsidRPr="00A12907">
              <w:rPr>
                <w:rFonts w:ascii="Century Gothic" w:eastAsia="Times New Roman" w:hAnsi="Century Gothic" w:cs="Times New Roman"/>
                <w:color w:val="000000"/>
                <w:sz w:val="20"/>
                <w:szCs w:val="20"/>
              </w:rPr>
              <w:lastRenderedPageBreak/>
              <w:t>por EXCALE en educación básica</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lastRenderedPageBreak/>
              <w:t>Estratégico</w:t>
            </w:r>
          </w:p>
        </w:tc>
        <w:tc>
          <w:tcPr>
            <w:tcW w:w="1417" w:type="dxa"/>
            <w:shd w:val="clear" w:color="auto" w:fill="auto"/>
            <w:noWrap/>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lastRenderedPageBreak/>
              <w:t>Propósito</w:t>
            </w:r>
          </w:p>
        </w:tc>
        <w:tc>
          <w:tcPr>
            <w:tcW w:w="2742" w:type="dxa"/>
            <w:shd w:val="clear" w:color="auto" w:fill="D9D9D9" w:themeFill="background1" w:themeFillShade="D9"/>
            <w:vAlign w:val="center"/>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Eficiencia terminal en educación primaria</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Estratégico</w:t>
            </w:r>
          </w:p>
        </w:tc>
        <w:tc>
          <w:tcPr>
            <w:tcW w:w="1417" w:type="dxa"/>
            <w:shd w:val="clear" w:color="auto" w:fill="D9D9D9" w:themeFill="background1" w:themeFillShade="D9"/>
            <w:noWrap/>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98.1</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2742"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Eficiencia terminal en educación secundaria</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Estratégico</w:t>
            </w:r>
          </w:p>
        </w:tc>
        <w:tc>
          <w:tcPr>
            <w:tcW w:w="141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85.3</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preescolar en la entidad federativa.</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41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61.6</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primaria en la entidad federativa.</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41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103.4</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742"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secundaria en la entidad federativa.</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41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98.7</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preescolar atendidos en centros de trabajo federalizados.</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55.1</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preescolar atendidos en centros de trabajo federalizados.</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57</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96.67</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primaria atendidos en centros de trabajo federalizados.</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56.8</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primaria atendidos en centros de trabajo federalizados.</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57.2</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99.3</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secundaria atendidos en centros de trabajo federalizados.</w:t>
            </w:r>
          </w:p>
        </w:tc>
        <w:tc>
          <w:tcPr>
            <w:tcW w:w="136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45.4</w:t>
            </w:r>
          </w:p>
        </w:tc>
        <w:tc>
          <w:tcPr>
            <w:tcW w:w="1146"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trHeight w:val="1"/>
        </w:trPr>
        <w:tc>
          <w:tcPr>
            <w:cnfStyle w:val="001000000000" w:firstRow="0" w:lastRow="0" w:firstColumn="1" w:lastColumn="0" w:oddVBand="0" w:evenVBand="0" w:oddHBand="0" w:evenHBand="0" w:firstRowFirstColumn="0" w:firstRowLastColumn="0" w:lastRowFirstColumn="0" w:lastRowLastColumn="0"/>
            <w:tcW w:w="1526"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742"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secundaria atendidos en centros de trabajo federalizados.</w:t>
            </w:r>
          </w:p>
        </w:tc>
        <w:tc>
          <w:tcPr>
            <w:tcW w:w="136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41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559"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45.6</w:t>
            </w:r>
          </w:p>
        </w:tc>
        <w:tc>
          <w:tcPr>
            <w:tcW w:w="1146"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99.56</w:t>
            </w:r>
          </w:p>
        </w:tc>
      </w:tr>
    </w:tbl>
    <w:p w:rsidR="002F71E6" w:rsidRPr="00A12907" w:rsidRDefault="002F71E6" w:rsidP="002F71E6">
      <w:pPr>
        <w:autoSpaceDE w:val="0"/>
        <w:autoSpaceDN w:val="0"/>
        <w:adjustRightInd w:val="0"/>
        <w:spacing w:after="0"/>
        <w:jc w:val="both"/>
        <w:rPr>
          <w:rFonts w:ascii="Century Gothic" w:hAnsi="Century Gothic"/>
          <w:b/>
          <w:sz w:val="20"/>
          <w:szCs w:val="20"/>
        </w:rPr>
      </w:pPr>
      <w:r w:rsidRPr="00A12907">
        <w:rPr>
          <w:rFonts w:ascii="Century Gothic" w:hAnsi="Century Gothic"/>
          <w:b/>
          <w:sz w:val="20"/>
          <w:szCs w:val="20"/>
        </w:rPr>
        <w:t xml:space="preserve">Fuente: </w:t>
      </w:r>
      <w:r w:rsidR="00CB57E7">
        <w:rPr>
          <w:rFonts w:ascii="Century Gothic" w:hAnsi="Century Gothic"/>
          <w:sz w:val="20"/>
          <w:szCs w:val="20"/>
        </w:rPr>
        <w:t>Elaboración propia con</w:t>
      </w:r>
      <w:r w:rsidRPr="00A12907">
        <w:rPr>
          <w:rFonts w:ascii="Century Gothic" w:hAnsi="Century Gothic"/>
          <w:sz w:val="20"/>
          <w:szCs w:val="20"/>
        </w:rPr>
        <w:t xml:space="preserve"> base en los datos del portal de Gobierno del Estado de Baja California. </w:t>
      </w:r>
      <w:hyperlink r:id="rId11" w:history="1">
        <w:r w:rsidRPr="00A12907">
          <w:rPr>
            <w:rStyle w:val="Hipervnculo"/>
            <w:rFonts w:ascii="Century Gothic" w:hAnsi="Century Gothic"/>
            <w:sz w:val="20"/>
            <w:szCs w:val="20"/>
          </w:rPr>
          <w:t>http://indicadores.bajacalifornia.gob.mx/ejercicio_recursos-16.jsp</w:t>
        </w:r>
      </w:hyperlink>
      <w:r w:rsidRPr="00A12907">
        <w:rPr>
          <w:rFonts w:ascii="Century Gothic" w:hAnsi="Century Gothic"/>
          <w:sz w:val="20"/>
          <w:szCs w:val="20"/>
        </w:rPr>
        <w:t xml:space="preserve"> (Ciclo del Ejercicio: 2017 2do. Trimestre)</w:t>
      </w:r>
      <w:r w:rsidRPr="00A12907">
        <w:rPr>
          <w:rFonts w:ascii="Century Gothic" w:hAnsi="Century Gothic"/>
          <w:b/>
          <w:sz w:val="20"/>
          <w:szCs w:val="20"/>
        </w:rPr>
        <w:t xml:space="preserve">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ind w:firstLine="708"/>
        <w:jc w:val="both"/>
        <w:rPr>
          <w:rFonts w:ascii="Century Gothic" w:hAnsi="Century Gothic"/>
          <w:b/>
          <w:sz w:val="24"/>
          <w:szCs w:val="24"/>
        </w:rPr>
      </w:pPr>
      <w:r w:rsidRPr="003B1CCD">
        <w:rPr>
          <w:rFonts w:ascii="Century Gothic" w:hAnsi="Century Gothic"/>
          <w:b/>
          <w:sz w:val="24"/>
          <w:szCs w:val="24"/>
        </w:rPr>
        <w:lastRenderedPageBreak/>
        <w:t xml:space="preserve">Población Objetivo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La Federación a partir del Fondo de Aportaciones para la Nómina Educativa y el Gasto Operativo, canaliza los recursos a las Entidades Federativas para brindar a cada uno de los niños y niñas que así soliciten un espacio para recibir educación en los 3 niveles educativos (preescolar, primaria y secundaria).</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jc w:val="both"/>
        <w:rPr>
          <w:rFonts w:ascii="Century Gothic" w:hAnsi="Century Gothic"/>
          <w:sz w:val="24"/>
          <w:szCs w:val="24"/>
        </w:rPr>
      </w:pPr>
      <w:r w:rsidRPr="003B1CCD">
        <w:rPr>
          <w:rFonts w:ascii="Century Gothic" w:hAnsi="Century Gothic"/>
          <w:sz w:val="24"/>
          <w:szCs w:val="24"/>
        </w:rPr>
        <w:t>Según datos generados y proporcionados por el INEGI en su página de internet en Baja California cuenta con 694,250 alumnos de educación básica. De la cual el 15.5% son del nivel preescolar, el 56.0% del nivel primaria y por último un 28.6% de secundaria.</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tabs>
          <w:tab w:val="left" w:pos="6237"/>
          <w:tab w:val="left" w:pos="7230"/>
        </w:tabs>
        <w:autoSpaceDE w:val="0"/>
        <w:autoSpaceDN w:val="0"/>
        <w:adjustRightInd w:val="0"/>
        <w:spacing w:after="0"/>
        <w:jc w:val="both"/>
        <w:rPr>
          <w:rFonts w:ascii="Century Gothic" w:hAnsi="Century Gothic"/>
          <w:sz w:val="24"/>
          <w:szCs w:val="24"/>
        </w:rPr>
      </w:pPr>
      <w:r w:rsidRPr="003B1CCD">
        <w:rPr>
          <w:rFonts w:ascii="Century Gothic" w:hAnsi="Century Gothic"/>
          <w:noProof/>
          <w:sz w:val="24"/>
          <w:szCs w:val="24"/>
          <w:lang w:val="es-ES" w:eastAsia="es-ES"/>
        </w:rPr>
        <w:drawing>
          <wp:inline distT="0" distB="0" distL="0" distR="0">
            <wp:extent cx="5486400" cy="32004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b/>
          <w:sz w:val="24"/>
          <w:szCs w:val="24"/>
        </w:rPr>
        <w:t xml:space="preserve">Fuente: </w:t>
      </w:r>
      <w:r w:rsidRPr="003B1CCD">
        <w:rPr>
          <w:rFonts w:ascii="Century Gothic" w:hAnsi="Century Gothic"/>
          <w:sz w:val="24"/>
          <w:szCs w:val="24"/>
        </w:rPr>
        <w:t xml:space="preserve">Elaboración propia con base en los datos del INEGI en su página de Internet en Baja California.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Default="002F71E6" w:rsidP="002F71E6">
      <w:pPr>
        <w:autoSpaceDE w:val="0"/>
        <w:autoSpaceDN w:val="0"/>
        <w:adjustRightInd w:val="0"/>
        <w:spacing w:after="0"/>
        <w:jc w:val="both"/>
        <w:rPr>
          <w:rFonts w:ascii="Century Gothic" w:hAnsi="Century Gothic"/>
          <w:b/>
          <w:sz w:val="24"/>
          <w:szCs w:val="24"/>
        </w:rPr>
      </w:pPr>
    </w:p>
    <w:p w:rsidR="002F71E6" w:rsidRDefault="002F71E6" w:rsidP="002F71E6">
      <w:pPr>
        <w:autoSpaceDE w:val="0"/>
        <w:autoSpaceDN w:val="0"/>
        <w:adjustRightInd w:val="0"/>
        <w:spacing w:after="0"/>
        <w:jc w:val="both"/>
        <w:rPr>
          <w:rFonts w:ascii="Century Gothic" w:hAnsi="Century Gothic"/>
          <w:b/>
          <w:sz w:val="24"/>
          <w:szCs w:val="24"/>
        </w:rPr>
      </w:pPr>
    </w:p>
    <w:p w:rsidR="002F71E6" w:rsidRDefault="002F71E6" w:rsidP="002F71E6">
      <w:pPr>
        <w:autoSpaceDE w:val="0"/>
        <w:autoSpaceDN w:val="0"/>
        <w:adjustRightInd w:val="0"/>
        <w:spacing w:after="0"/>
        <w:jc w:val="both"/>
        <w:rPr>
          <w:rFonts w:ascii="Century Gothic" w:hAnsi="Century Gothic"/>
          <w:b/>
          <w:sz w:val="24"/>
          <w:szCs w:val="24"/>
        </w:rPr>
      </w:pPr>
    </w:p>
    <w:p w:rsidR="002F71E6"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b/>
          <w:sz w:val="24"/>
          <w:szCs w:val="24"/>
        </w:rPr>
        <w:lastRenderedPageBreak/>
        <w:t>Alineación del Fondo de Aportaciones para la Nómina Educativa y el Gasto Operativo</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El Fondo de Aportaciones para la Nómina Educativa y el Gasto Operativo, se encuentra alineado a todos los instrumentos de planeación aplicables en el orden federal y estatal. </w:t>
      </w: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b/>
          <w:noProof/>
          <w:sz w:val="24"/>
          <w:szCs w:val="24"/>
          <w:lang w:val="es-ES" w:eastAsia="es-ES"/>
        </w:rPr>
        <w:drawing>
          <wp:inline distT="0" distB="0" distL="0" distR="0">
            <wp:extent cx="5691225" cy="3204057"/>
            <wp:effectExtent l="19050" t="0" r="508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3B1CCD">
        <w:rPr>
          <w:rFonts w:ascii="Century Gothic" w:hAnsi="Century Gothic"/>
          <w:sz w:val="24"/>
          <w:szCs w:val="24"/>
        </w:rPr>
        <w:t xml:space="preserve">Dentro del Plan Nacional de Desarrollo 2013-2018, la alineación al fondo le corresponde atender la meta nacional número tres </w:t>
      </w:r>
      <w:r w:rsidRPr="003B1CCD">
        <w:rPr>
          <w:rFonts w:ascii="Century Gothic" w:hAnsi="Century Gothic"/>
          <w:b/>
          <w:sz w:val="24"/>
          <w:szCs w:val="24"/>
        </w:rPr>
        <w:t>“México con Educación de Calidad”.</w:t>
      </w:r>
      <w:r w:rsidRPr="003B1CCD">
        <w:rPr>
          <w:rFonts w:ascii="Century Gothic" w:hAnsi="Century Gothic"/>
          <w:sz w:val="24"/>
          <w:szCs w:val="24"/>
        </w:rPr>
        <w:t xml:space="preserve"> </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b/>
          <w:sz w:val="24"/>
          <w:szCs w:val="24"/>
        </w:rPr>
      </w:pPr>
      <w:r w:rsidRPr="003B1CCD">
        <w:rPr>
          <w:rFonts w:ascii="Century Gothic" w:hAnsi="Century Gothic"/>
          <w:sz w:val="24"/>
          <w:szCs w:val="24"/>
        </w:rPr>
        <w:t>Así mismo la atención de esta meta nacional y sus objetivos se canalizan a través del</w:t>
      </w:r>
      <w:r w:rsidRPr="003B1CCD">
        <w:rPr>
          <w:rFonts w:ascii="Century Gothic" w:hAnsi="Century Gothic"/>
          <w:b/>
          <w:sz w:val="24"/>
          <w:szCs w:val="24"/>
        </w:rPr>
        <w:t xml:space="preserve"> Programa Sectorial Educación 2013-2018</w:t>
      </w:r>
      <w:r w:rsidRPr="003B1CCD">
        <w:rPr>
          <w:rFonts w:ascii="Century Gothic" w:hAnsi="Century Gothic"/>
          <w:sz w:val="24"/>
          <w:szCs w:val="24"/>
        </w:rPr>
        <w:t xml:space="preserve"> a nivel nacional. </w:t>
      </w:r>
    </w:p>
    <w:p w:rsidR="002F71E6" w:rsidRPr="003B1CCD" w:rsidRDefault="002F71E6" w:rsidP="002F71E6">
      <w:pPr>
        <w:autoSpaceDE w:val="0"/>
        <w:autoSpaceDN w:val="0"/>
        <w:adjustRightInd w:val="0"/>
        <w:spacing w:after="0"/>
        <w:jc w:val="both"/>
        <w:rPr>
          <w:rFonts w:ascii="Century Gothic" w:hAnsi="Century Gothic"/>
          <w:b/>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La Planeación a nivel estatal encontramos que en el</w:t>
      </w:r>
      <w:r w:rsidRPr="003B1CCD">
        <w:rPr>
          <w:rFonts w:ascii="Century Gothic" w:hAnsi="Century Gothic"/>
          <w:b/>
          <w:sz w:val="24"/>
          <w:szCs w:val="24"/>
        </w:rPr>
        <w:t xml:space="preserve"> Plan Estatal de Desarrollo 2014-2019 en el </w:t>
      </w:r>
      <w:r w:rsidRPr="003B1CCD">
        <w:rPr>
          <w:rFonts w:ascii="Century Gothic" w:hAnsi="Century Gothic"/>
          <w:sz w:val="24"/>
          <w:szCs w:val="24"/>
        </w:rPr>
        <w:t xml:space="preserve">Eje 4: </w:t>
      </w:r>
      <w:r w:rsidRPr="003B1CCD">
        <w:rPr>
          <w:rFonts w:ascii="Century Gothic" w:hAnsi="Century Gothic"/>
          <w:b/>
          <w:sz w:val="24"/>
          <w:szCs w:val="24"/>
        </w:rPr>
        <w:t xml:space="preserve">“Educación para la Vida” </w:t>
      </w:r>
      <w:r w:rsidRPr="003B1CCD">
        <w:rPr>
          <w:rFonts w:ascii="Century Gothic" w:hAnsi="Century Gothic"/>
          <w:sz w:val="24"/>
          <w:szCs w:val="24"/>
        </w:rPr>
        <w:t xml:space="preserve">cuyo objetivo general es el siguiente: “Asegurar la formación integral desde la educación básica hasta la educación superior, garantizando la inclusión y equidad educativa entre todos los grupos de la población de Baja California, encaminados al desarrollo humano, con una educación de calidad, un sistema de arte y cultura para todos, la promoción de valores y el desarrollo del deporte”. </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lastRenderedPageBreak/>
        <w:t xml:space="preserve">Y como Objetivo para el Tema de </w:t>
      </w:r>
      <w:r w:rsidRPr="003B1CCD">
        <w:rPr>
          <w:rFonts w:ascii="Century Gothic" w:hAnsi="Century Gothic"/>
          <w:b/>
          <w:sz w:val="24"/>
          <w:szCs w:val="24"/>
        </w:rPr>
        <w:t>Educación Básica</w:t>
      </w:r>
      <w:r w:rsidRPr="003B1CCD">
        <w:rPr>
          <w:rFonts w:ascii="Century Gothic" w:hAnsi="Century Gothic"/>
          <w:sz w:val="24"/>
          <w:szCs w:val="24"/>
        </w:rPr>
        <w:t xml:space="preserve"> “Elevar la calidad y el logro educativo mediante una educación integral, garantizando la inclusión y equidad educativa entre todos los grupos de la población”. </w:t>
      </w:r>
    </w:p>
    <w:p w:rsidR="002F71E6" w:rsidRPr="003B1CCD" w:rsidRDefault="002F71E6" w:rsidP="002F71E6">
      <w:pPr>
        <w:autoSpaceDE w:val="0"/>
        <w:autoSpaceDN w:val="0"/>
        <w:adjustRightInd w:val="0"/>
        <w:spacing w:after="0"/>
        <w:jc w:val="both"/>
        <w:rPr>
          <w:rFonts w:ascii="Century Gothic" w:hAnsi="Century Gothic"/>
          <w:sz w:val="24"/>
          <w:szCs w:val="24"/>
        </w:rPr>
      </w:pPr>
    </w:p>
    <w:p w:rsidR="002F71E6" w:rsidRPr="003B1CCD" w:rsidRDefault="002F71E6" w:rsidP="002F71E6">
      <w:pPr>
        <w:autoSpaceDE w:val="0"/>
        <w:autoSpaceDN w:val="0"/>
        <w:adjustRightInd w:val="0"/>
        <w:spacing w:after="0"/>
        <w:jc w:val="both"/>
        <w:rPr>
          <w:rFonts w:ascii="Century Gothic" w:hAnsi="Century Gothic"/>
          <w:sz w:val="24"/>
          <w:szCs w:val="24"/>
        </w:rPr>
      </w:pPr>
      <w:r w:rsidRPr="003B1CCD">
        <w:rPr>
          <w:rFonts w:ascii="Century Gothic" w:hAnsi="Century Gothic"/>
          <w:sz w:val="24"/>
          <w:szCs w:val="24"/>
        </w:rPr>
        <w:t xml:space="preserve">Del eje anterior, se desprende el </w:t>
      </w:r>
      <w:r w:rsidRPr="003B1CCD">
        <w:rPr>
          <w:rFonts w:ascii="Century Gothic" w:hAnsi="Century Gothic"/>
          <w:b/>
          <w:sz w:val="24"/>
          <w:szCs w:val="24"/>
        </w:rPr>
        <w:t>Programa de Educación BC 2015-2018,</w:t>
      </w:r>
      <w:r w:rsidRPr="003B1CCD">
        <w:rPr>
          <w:rFonts w:ascii="Century Gothic" w:hAnsi="Century Gothic"/>
          <w:sz w:val="24"/>
          <w:szCs w:val="24"/>
        </w:rPr>
        <w:t xml:space="preserve"> documento sectorial que marca la ruta que la administración estatal habrá de seguir, para cumplir con los propósitos señalados en el propio Eje. </w:t>
      </w:r>
    </w:p>
    <w:p w:rsidR="002F71E6" w:rsidRPr="003B1CCD" w:rsidRDefault="002F71E6" w:rsidP="002F71E6">
      <w:pPr>
        <w:autoSpaceDE w:val="0"/>
        <w:autoSpaceDN w:val="0"/>
        <w:adjustRightInd w:val="0"/>
        <w:spacing w:after="0" w:line="360" w:lineRule="auto"/>
        <w:jc w:val="both"/>
        <w:rPr>
          <w:rFonts w:ascii="Century Gothic" w:hAnsi="Century Gothic"/>
          <w:b/>
          <w:sz w:val="24"/>
          <w:szCs w:val="24"/>
        </w:rPr>
      </w:pPr>
    </w:p>
    <w:p w:rsidR="002F71E6" w:rsidRPr="003B1CCD" w:rsidRDefault="002F71E6" w:rsidP="002F71E6">
      <w:pPr>
        <w:autoSpaceDE w:val="0"/>
        <w:autoSpaceDN w:val="0"/>
        <w:adjustRightInd w:val="0"/>
        <w:spacing w:after="0" w:line="360" w:lineRule="auto"/>
        <w:jc w:val="both"/>
        <w:rPr>
          <w:rFonts w:ascii="Century Gothic" w:hAnsi="Century Gothic"/>
          <w:b/>
          <w:sz w:val="24"/>
          <w:szCs w:val="24"/>
        </w:rPr>
      </w:pPr>
      <w:r w:rsidRPr="003B1CCD">
        <w:rPr>
          <w:rFonts w:ascii="Century Gothic" w:hAnsi="Century Gothic"/>
          <w:b/>
          <w:sz w:val="24"/>
          <w:szCs w:val="24"/>
        </w:rPr>
        <w:t>3.-</w:t>
      </w:r>
      <w:r w:rsidRPr="003B1CCD">
        <w:rPr>
          <w:rFonts w:ascii="Century Gothic" w:hAnsi="Century Gothic"/>
          <w:sz w:val="24"/>
          <w:szCs w:val="24"/>
        </w:rPr>
        <w:t xml:space="preserve"> </w:t>
      </w:r>
      <w:r w:rsidRPr="003B1CCD">
        <w:rPr>
          <w:rFonts w:ascii="Century Gothic" w:hAnsi="Century Gothic"/>
          <w:b/>
          <w:sz w:val="24"/>
          <w:szCs w:val="24"/>
        </w:rPr>
        <w:t>Resultados logrados por el Fondo de Aportaciones para la Nómina Educativa y el Gasto Operativo (FONE).</w:t>
      </w:r>
    </w:p>
    <w:p w:rsidR="002F71E6" w:rsidRPr="003B1CCD" w:rsidRDefault="002F71E6" w:rsidP="002F71E6">
      <w:pPr>
        <w:autoSpaceDE w:val="0"/>
        <w:autoSpaceDN w:val="0"/>
        <w:adjustRightInd w:val="0"/>
        <w:spacing w:after="0" w:line="360" w:lineRule="auto"/>
        <w:jc w:val="both"/>
        <w:rPr>
          <w:rFonts w:ascii="Century Gothic" w:hAnsi="Century Gothic"/>
          <w:b/>
          <w:sz w:val="24"/>
          <w:szCs w:val="24"/>
        </w:rPr>
      </w:pPr>
    </w:p>
    <w:p w:rsidR="002F71E6" w:rsidRPr="00B76037" w:rsidRDefault="002F71E6" w:rsidP="002F71E6">
      <w:pPr>
        <w:autoSpaceDE w:val="0"/>
        <w:autoSpaceDN w:val="0"/>
        <w:adjustRightInd w:val="0"/>
        <w:spacing w:after="0" w:line="360" w:lineRule="auto"/>
        <w:jc w:val="both"/>
        <w:rPr>
          <w:rFonts w:ascii="Century Gothic" w:hAnsi="Century Gothic"/>
          <w:sz w:val="24"/>
          <w:szCs w:val="24"/>
        </w:rPr>
      </w:pPr>
      <w:r w:rsidRPr="00B76037">
        <w:rPr>
          <w:rFonts w:ascii="Century Gothic" w:hAnsi="Century Gothic"/>
          <w:b/>
          <w:sz w:val="24"/>
          <w:szCs w:val="24"/>
        </w:rPr>
        <w:t>3.1.- Análisis del cumplimiento de los objetivos y metas establecidos.</w:t>
      </w:r>
      <w:r w:rsidRPr="00B76037">
        <w:rPr>
          <w:rFonts w:ascii="Century Gothic" w:hAnsi="Century Gothic"/>
          <w:sz w:val="24"/>
          <w:szCs w:val="24"/>
        </w:rPr>
        <w:t xml:space="preserve"> </w:t>
      </w:r>
    </w:p>
    <w:p w:rsidR="002F71E6" w:rsidRPr="00B76037" w:rsidRDefault="002F71E6" w:rsidP="002F71E6">
      <w:pPr>
        <w:autoSpaceDE w:val="0"/>
        <w:autoSpaceDN w:val="0"/>
        <w:adjustRightInd w:val="0"/>
        <w:spacing w:after="0"/>
        <w:jc w:val="both"/>
        <w:rPr>
          <w:rFonts w:ascii="Century Gothic" w:hAnsi="Century Gothic" w:cs="Arial"/>
          <w:sz w:val="24"/>
          <w:szCs w:val="24"/>
        </w:rPr>
      </w:pPr>
      <w:r w:rsidRPr="00B76037">
        <w:rPr>
          <w:rFonts w:ascii="Century Gothic" w:hAnsi="Century Gothic" w:cs="Arial"/>
          <w:sz w:val="24"/>
          <w:szCs w:val="24"/>
        </w:rPr>
        <w:t xml:space="preserve">El objeto del Fondo se fundamenta en lo establecido por la Ley de Coordinación Fiscal en su artículo 26 y por la Ley General de Educación en sus artículos 13 (atribuciones que les corresponde atender de manera exclusiva a las autoridades educativas locales) y 16 (observancia a lo dispuesto por la Ley General del Servicio Profesional Docente). </w:t>
      </w:r>
    </w:p>
    <w:p w:rsidR="002F71E6" w:rsidRPr="00B76037" w:rsidRDefault="002F71E6" w:rsidP="002F71E6">
      <w:pPr>
        <w:autoSpaceDE w:val="0"/>
        <w:autoSpaceDN w:val="0"/>
        <w:adjustRightInd w:val="0"/>
        <w:spacing w:after="0"/>
        <w:jc w:val="both"/>
        <w:rPr>
          <w:rFonts w:ascii="Century Gothic" w:hAnsi="Century Gothic" w:cs="Arial"/>
          <w:sz w:val="24"/>
          <w:szCs w:val="24"/>
        </w:rPr>
      </w:pPr>
    </w:p>
    <w:p w:rsidR="002F71E6" w:rsidRPr="00B76037" w:rsidRDefault="002F71E6" w:rsidP="002F71E6">
      <w:pPr>
        <w:autoSpaceDE w:val="0"/>
        <w:autoSpaceDN w:val="0"/>
        <w:adjustRightInd w:val="0"/>
        <w:spacing w:after="0"/>
        <w:jc w:val="both"/>
        <w:rPr>
          <w:rFonts w:ascii="Century Gothic" w:hAnsi="Century Gothic" w:cs="Arial"/>
          <w:sz w:val="24"/>
          <w:szCs w:val="24"/>
        </w:rPr>
      </w:pPr>
      <w:r w:rsidRPr="00B76037">
        <w:rPr>
          <w:rFonts w:ascii="Century Gothic" w:hAnsi="Century Gothic" w:cs="Arial"/>
          <w:sz w:val="24"/>
          <w:szCs w:val="24"/>
        </w:rPr>
        <w:t>La Matriz de Indicadores del Fondo establece los siguientes objetivos de acuerdo a los diferentes niveles de la Matriz:</w:t>
      </w:r>
    </w:p>
    <w:p w:rsidR="002F71E6" w:rsidRPr="003B1CCD" w:rsidRDefault="002F71E6" w:rsidP="002F71E6">
      <w:pPr>
        <w:autoSpaceDE w:val="0"/>
        <w:autoSpaceDN w:val="0"/>
        <w:adjustRightInd w:val="0"/>
        <w:spacing w:after="0"/>
        <w:rPr>
          <w:rFonts w:ascii="Arial" w:hAnsi="Arial" w:cs="Arial"/>
          <w:sz w:val="24"/>
          <w:szCs w:val="24"/>
        </w:rPr>
      </w:pPr>
    </w:p>
    <w:tbl>
      <w:tblPr>
        <w:tblStyle w:val="Sombreadoclaro"/>
        <w:tblW w:w="8630" w:type="dxa"/>
        <w:jc w:val="center"/>
        <w:tblLayout w:type="fixed"/>
        <w:tblLook w:val="04A0" w:firstRow="1" w:lastRow="0" w:firstColumn="1" w:lastColumn="0" w:noHBand="0" w:noVBand="1"/>
      </w:tblPr>
      <w:tblGrid>
        <w:gridCol w:w="1599"/>
        <w:gridCol w:w="7031"/>
      </w:tblGrid>
      <w:tr w:rsidR="002F71E6" w:rsidRPr="00A12907" w:rsidTr="000D3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noWrap/>
            <w:vAlign w:val="center"/>
            <w:hideMark/>
          </w:tcPr>
          <w:p w:rsidR="002F71E6" w:rsidRPr="00A12907" w:rsidRDefault="002F71E6" w:rsidP="000D38C7">
            <w:pPr>
              <w:spacing w:line="360" w:lineRule="auto"/>
              <w:rPr>
                <w:rFonts w:ascii="Century Gothic" w:eastAsia="Times New Roman" w:hAnsi="Century Gothic" w:cs="Times New Roman"/>
                <w:color w:val="000000"/>
              </w:rPr>
            </w:pPr>
            <w:r w:rsidRPr="00A12907">
              <w:rPr>
                <w:rFonts w:ascii="Century Gothic" w:eastAsia="Times New Roman" w:hAnsi="Century Gothic" w:cs="Times New Roman"/>
                <w:color w:val="000000"/>
              </w:rPr>
              <w:t> </w:t>
            </w:r>
          </w:p>
        </w:tc>
        <w:tc>
          <w:tcPr>
            <w:tcW w:w="7031" w:type="dxa"/>
            <w:noWrap/>
            <w:vAlign w:val="center"/>
          </w:tcPr>
          <w:p w:rsidR="002F71E6" w:rsidRPr="00A12907" w:rsidRDefault="002F71E6" w:rsidP="000D38C7">
            <w:pPr>
              <w:spacing w:line="360" w:lineRule="auto"/>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rPr>
            </w:pPr>
            <w:r w:rsidRPr="00A12907">
              <w:rPr>
                <w:rFonts w:ascii="Century Gothic" w:eastAsia="Times New Roman" w:hAnsi="Century Gothic" w:cs="Times New Roman"/>
                <w:color w:val="000000"/>
              </w:rPr>
              <w:t>Objetivo del indicador</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noWrap/>
            <w:vAlign w:val="center"/>
          </w:tcPr>
          <w:p w:rsidR="002F71E6" w:rsidRPr="00A12907" w:rsidRDefault="002F71E6" w:rsidP="000D38C7">
            <w:pPr>
              <w:spacing w:line="360" w:lineRule="auto"/>
              <w:rPr>
                <w:rFonts w:ascii="Century Gothic" w:eastAsia="Times New Roman" w:hAnsi="Century Gothic" w:cs="Times New Roman"/>
                <w:color w:val="000000"/>
              </w:rPr>
            </w:pPr>
            <w:r w:rsidRPr="00A12907">
              <w:rPr>
                <w:rFonts w:ascii="Century Gothic" w:eastAsia="Times New Roman" w:hAnsi="Century Gothic" w:cs="Times New Roman"/>
                <w:color w:val="000000"/>
              </w:rPr>
              <w:t>Fin</w:t>
            </w:r>
          </w:p>
        </w:tc>
        <w:tc>
          <w:tcPr>
            <w:tcW w:w="7031" w:type="dxa"/>
            <w:shd w:val="clear" w:color="auto" w:fill="auto"/>
            <w:vAlign w:val="center"/>
          </w:tcPr>
          <w:p w:rsidR="002F71E6" w:rsidRPr="00A12907" w:rsidRDefault="002F71E6" w:rsidP="000D38C7">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rPr>
            </w:pPr>
            <w:r w:rsidRPr="00A12907">
              <w:rPr>
                <w:rFonts w:ascii="Century Gothic" w:eastAsia="Times New Roman" w:hAnsi="Century Gothic" w:cs="Times New Roman"/>
                <w:color w:val="000000"/>
              </w:rPr>
              <w:t xml:space="preserve">Contribuir a asegurar la calidad de los aprendizajes en la educación básica y la formación integral de todos los grupos de la población mediante la aplicación de los recursos del Fondo de Aportaciones para la Nómina Educativa y Gasto Operativo (FONE) para apoyar la prestación de los servicios educativos en las entidades federativas, </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D9D9D9" w:themeFill="background1" w:themeFillShade="D9"/>
            <w:noWrap/>
            <w:vAlign w:val="center"/>
          </w:tcPr>
          <w:p w:rsidR="002F71E6" w:rsidRPr="00A12907" w:rsidRDefault="002F71E6" w:rsidP="000D38C7">
            <w:pPr>
              <w:spacing w:line="360" w:lineRule="auto"/>
              <w:rPr>
                <w:rFonts w:ascii="Century Gothic" w:eastAsia="Times New Roman" w:hAnsi="Century Gothic" w:cs="Times New Roman"/>
                <w:color w:val="000000"/>
              </w:rPr>
            </w:pPr>
            <w:r w:rsidRPr="00A12907">
              <w:rPr>
                <w:rFonts w:ascii="Century Gothic" w:eastAsia="Times New Roman" w:hAnsi="Century Gothic" w:cs="Times New Roman"/>
                <w:color w:val="000000"/>
              </w:rPr>
              <w:t>Propósito</w:t>
            </w:r>
          </w:p>
        </w:tc>
        <w:tc>
          <w:tcPr>
            <w:tcW w:w="7031" w:type="dxa"/>
            <w:shd w:val="clear" w:color="auto" w:fill="D9D9D9" w:themeFill="background1" w:themeFillShade="D9"/>
            <w:vAlign w:val="center"/>
          </w:tcPr>
          <w:p w:rsidR="002F71E6" w:rsidRPr="00A12907" w:rsidRDefault="002F71E6" w:rsidP="000D38C7">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rPr>
            </w:pPr>
            <w:r w:rsidRPr="00A12907">
              <w:rPr>
                <w:rFonts w:ascii="Century Gothic" w:eastAsia="Times New Roman" w:hAnsi="Century Gothic" w:cs="Times New Roman"/>
                <w:color w:val="000000"/>
              </w:rPr>
              <w:t>La población en edad de asistir a la escuela tiene acceso y concluye sus estudios de educación básica, incluyendo la indígena y especial, derivado de la aplicación de los recursos del Fondo de Aportaciones para la Nómina Educativa y Gasto Operativo (FONE)</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auto"/>
            <w:noWrap/>
            <w:vAlign w:val="center"/>
            <w:hideMark/>
          </w:tcPr>
          <w:p w:rsidR="002F71E6" w:rsidRPr="00A12907" w:rsidRDefault="002F71E6" w:rsidP="000D38C7">
            <w:pPr>
              <w:spacing w:line="360" w:lineRule="auto"/>
              <w:rPr>
                <w:rFonts w:ascii="Century Gothic" w:eastAsia="Times New Roman" w:hAnsi="Century Gothic" w:cs="Times New Roman"/>
                <w:color w:val="000000"/>
              </w:rPr>
            </w:pPr>
            <w:r w:rsidRPr="00A12907">
              <w:rPr>
                <w:rFonts w:ascii="Century Gothic" w:eastAsia="Times New Roman" w:hAnsi="Century Gothic" w:cs="Times New Roman"/>
                <w:color w:val="000000"/>
              </w:rPr>
              <w:t>Component</w:t>
            </w:r>
            <w:r w:rsidRPr="00A12907">
              <w:rPr>
                <w:rFonts w:ascii="Century Gothic" w:eastAsia="Times New Roman" w:hAnsi="Century Gothic" w:cs="Times New Roman"/>
                <w:color w:val="000000"/>
              </w:rPr>
              <w:lastRenderedPageBreak/>
              <w:t>e</w:t>
            </w:r>
          </w:p>
        </w:tc>
        <w:tc>
          <w:tcPr>
            <w:tcW w:w="7031" w:type="dxa"/>
            <w:shd w:val="clear" w:color="auto" w:fill="auto"/>
            <w:vAlign w:val="center"/>
          </w:tcPr>
          <w:p w:rsidR="002F71E6" w:rsidRPr="00A12907" w:rsidRDefault="002F71E6" w:rsidP="000D38C7">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rPr>
            </w:pPr>
            <w:r w:rsidRPr="00A12907">
              <w:rPr>
                <w:rFonts w:ascii="Century Gothic" w:eastAsia="Times New Roman" w:hAnsi="Century Gothic" w:cs="Times New Roman"/>
                <w:color w:val="000000"/>
              </w:rPr>
              <w:lastRenderedPageBreak/>
              <w:t xml:space="preserve">Servicios educativos de tipo básico otorgados por las Entidades </w:t>
            </w:r>
            <w:r w:rsidRPr="00A12907">
              <w:rPr>
                <w:rFonts w:ascii="Century Gothic" w:eastAsia="Times New Roman" w:hAnsi="Century Gothic" w:cs="Times New Roman"/>
                <w:color w:val="000000"/>
              </w:rPr>
              <w:lastRenderedPageBreak/>
              <w:t>Federativas</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599" w:type="dxa"/>
            <w:shd w:val="clear" w:color="auto" w:fill="D9D9D9" w:themeFill="background1" w:themeFillShade="D9"/>
            <w:noWrap/>
            <w:vAlign w:val="center"/>
            <w:hideMark/>
          </w:tcPr>
          <w:p w:rsidR="002F71E6" w:rsidRPr="00A12907" w:rsidRDefault="002F71E6" w:rsidP="000D38C7">
            <w:pPr>
              <w:spacing w:line="360" w:lineRule="auto"/>
              <w:rPr>
                <w:rFonts w:ascii="Century Gothic" w:eastAsia="Times New Roman" w:hAnsi="Century Gothic" w:cs="Times New Roman"/>
                <w:color w:val="000000"/>
              </w:rPr>
            </w:pPr>
            <w:r w:rsidRPr="00A12907">
              <w:rPr>
                <w:rFonts w:ascii="Century Gothic" w:eastAsia="Times New Roman" w:hAnsi="Century Gothic" w:cs="Times New Roman"/>
                <w:color w:val="000000"/>
              </w:rPr>
              <w:lastRenderedPageBreak/>
              <w:t>Actividad</w:t>
            </w:r>
          </w:p>
        </w:tc>
        <w:tc>
          <w:tcPr>
            <w:tcW w:w="7031" w:type="dxa"/>
            <w:shd w:val="clear" w:color="auto" w:fill="D9D9D9" w:themeFill="background1" w:themeFillShade="D9"/>
            <w:vAlign w:val="center"/>
          </w:tcPr>
          <w:p w:rsidR="002F71E6" w:rsidRPr="00A12907" w:rsidRDefault="002F71E6" w:rsidP="000D38C7">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rPr>
            </w:pPr>
            <w:r w:rsidRPr="00A12907">
              <w:rPr>
                <w:rFonts w:ascii="Century Gothic" w:eastAsia="Times New Roman" w:hAnsi="Century Gothic" w:cs="Times New Roman"/>
                <w:color w:val="000000"/>
              </w:rPr>
              <w:t xml:space="preserve">Atención de la Matricula de educación básica con plazas federalizadas en la entidad federativa. </w:t>
            </w:r>
          </w:p>
        </w:tc>
      </w:tr>
    </w:tbl>
    <w:p w:rsidR="002F71E6" w:rsidRPr="003B1CCD" w:rsidRDefault="002F71E6" w:rsidP="002F71E6">
      <w:pPr>
        <w:autoSpaceDE w:val="0"/>
        <w:autoSpaceDN w:val="0"/>
        <w:adjustRightInd w:val="0"/>
        <w:spacing w:after="0"/>
        <w:rPr>
          <w:rFonts w:ascii="Arial" w:hAnsi="Arial" w:cs="Arial"/>
          <w:sz w:val="24"/>
          <w:szCs w:val="24"/>
        </w:rPr>
      </w:pPr>
    </w:p>
    <w:p w:rsidR="002F71E6" w:rsidRPr="003B1CCD" w:rsidRDefault="002F71E6" w:rsidP="002F71E6">
      <w:pPr>
        <w:autoSpaceDE w:val="0"/>
        <w:autoSpaceDN w:val="0"/>
        <w:adjustRightInd w:val="0"/>
        <w:spacing w:after="0"/>
        <w:rPr>
          <w:rFonts w:ascii="Arial" w:hAnsi="Arial"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El objetivo de los resultados logrados, debe realizarse de manera integral, por lo que primero se procederá a estudiar el cumplimiento de sus objetivos, y la relación que estos guardan con el cumplimiento de los Programas Presupuestarios Estatales y posteriormente se analizará la MIR del Fondo  y su congruencia con los indicadores de los Programas Presupuestarios Estatales.</w:t>
      </w:r>
    </w:p>
    <w:p w:rsidR="002F71E6" w:rsidRPr="003B1CCD" w:rsidRDefault="002F71E6" w:rsidP="002F71E6">
      <w:pPr>
        <w:autoSpaceDE w:val="0"/>
        <w:autoSpaceDN w:val="0"/>
        <w:adjustRightInd w:val="0"/>
        <w:spacing w:after="0"/>
        <w:jc w:val="both"/>
        <w:rPr>
          <w:rFonts w:ascii="Century Gothic" w:hAnsi="Century Gothic" w:cs="Arial"/>
          <w:sz w:val="24"/>
          <w:szCs w:val="24"/>
        </w:rPr>
      </w:pPr>
    </w:p>
    <w:tbl>
      <w:tblPr>
        <w:tblStyle w:val="Tablaconcuadrcula"/>
        <w:tblW w:w="0" w:type="auto"/>
        <w:tblLook w:val="04A0" w:firstRow="1" w:lastRow="0" w:firstColumn="1" w:lastColumn="0" w:noHBand="0" w:noVBand="1"/>
      </w:tblPr>
      <w:tblGrid>
        <w:gridCol w:w="2992"/>
        <w:gridCol w:w="2993"/>
        <w:gridCol w:w="2993"/>
      </w:tblGrid>
      <w:tr w:rsidR="002F71E6" w:rsidRPr="00406AE8" w:rsidTr="000D38C7">
        <w:tc>
          <w:tcPr>
            <w:tcW w:w="2992"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Programa</w:t>
            </w:r>
          </w:p>
        </w:tc>
        <w:tc>
          <w:tcPr>
            <w:tcW w:w="2993"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Fin</w:t>
            </w:r>
          </w:p>
        </w:tc>
        <w:tc>
          <w:tcPr>
            <w:tcW w:w="2993"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Propósito</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t xml:space="preserve">059 </w:t>
            </w:r>
            <w:r w:rsidRPr="00A12907">
              <w:rPr>
                <w:rFonts w:ascii="Century Gothic" w:hAnsi="Century Gothic" w:cs="Arial"/>
              </w:rPr>
              <w:t>Calidad y Equidad en Educación Básica</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Alumnos de educación básica reciben servicios educativos  pertinentes y de calidad orientados a la formación para la vida con una estrecha vinculación escuela-familia-sociedad. </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t xml:space="preserve">062 </w:t>
            </w:r>
            <w:r w:rsidRPr="00A12907">
              <w:rPr>
                <w:rFonts w:ascii="Century Gothic" w:hAnsi="Century Gothic" w:cs="Arial"/>
              </w:rPr>
              <w:t>Apoyos y Estímulos Educativos</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Alumnos en riesgo de abandono escolar cuentan con igualdad de oportunidades educativas para el acceso, permanencia y egreso en la educación. </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t>063</w:t>
            </w:r>
            <w:r w:rsidRPr="00A12907">
              <w:rPr>
                <w:rFonts w:ascii="Century Gothic" w:hAnsi="Century Gothic" w:cs="Arial"/>
              </w:rPr>
              <w:t xml:space="preserve"> Servicio Profesional Docente</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Procesos de ingreso, promoción y reconocimiento y permanencia en el servicio educativo que garantizan la idoneidad de conocimientos y capacidades del personal docente, directivo, asesores técnicos pedagógicos y </w:t>
            </w:r>
            <w:r w:rsidRPr="00A12907">
              <w:rPr>
                <w:rFonts w:ascii="Century Gothic" w:hAnsi="Century Gothic" w:cs="Arial"/>
              </w:rPr>
              <w:lastRenderedPageBreak/>
              <w:t>de supervisión en la educación básica.</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lastRenderedPageBreak/>
              <w:t>099</w:t>
            </w:r>
            <w:r w:rsidRPr="00A12907">
              <w:rPr>
                <w:rFonts w:ascii="Century Gothic" w:hAnsi="Century Gothic" w:cs="Arial"/>
              </w:rPr>
              <w:t xml:space="preserve"> Infraestructura en el Sector Educativo</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Planteles e instalaciones del sector educativo ubicados en zonas prioritarias, mejoran su infraestructura, equipamiento así como el mantenimiento preventivo. </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t xml:space="preserve">163 </w:t>
            </w:r>
            <w:r w:rsidRPr="00A12907">
              <w:rPr>
                <w:rFonts w:ascii="Century Gothic" w:hAnsi="Century Gothic" w:cs="Arial"/>
              </w:rPr>
              <w:t>Participación Social y Formación Ciudadana</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Comunidades educativas fortalecen la participación social, la gestión y la formación ciudadana. </w:t>
            </w:r>
          </w:p>
        </w:tc>
      </w:tr>
      <w:tr w:rsidR="002F71E6" w:rsidRPr="00A12907" w:rsidTr="000D38C7">
        <w:tc>
          <w:tcPr>
            <w:tcW w:w="2992" w:type="dxa"/>
          </w:tcPr>
          <w:p w:rsidR="002F71E6" w:rsidRPr="00A12907" w:rsidRDefault="002F71E6" w:rsidP="000D38C7">
            <w:pPr>
              <w:autoSpaceDE w:val="0"/>
              <w:autoSpaceDN w:val="0"/>
              <w:adjustRightInd w:val="0"/>
              <w:jc w:val="both"/>
              <w:rPr>
                <w:rFonts w:ascii="Century Gothic" w:hAnsi="Century Gothic" w:cs="Arial"/>
              </w:rPr>
            </w:pPr>
            <w:r w:rsidRPr="00406AE8">
              <w:rPr>
                <w:rFonts w:ascii="Century Gothic" w:hAnsi="Century Gothic" w:cs="Arial"/>
                <w:b/>
              </w:rPr>
              <w:t>167</w:t>
            </w:r>
            <w:r w:rsidRPr="00A12907">
              <w:rPr>
                <w:rFonts w:ascii="Century Gothic" w:hAnsi="Century Gothic" w:cs="Arial"/>
              </w:rPr>
              <w:t xml:space="preserve"> Programa de Insumos y Mantenimiento para el Entorno Educativo</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Contribuir a una formación integral de los habitantes del estado en los diferentes niveles educativos mediante políticas educativas de calidad y orientada a reforzar los valores, un sistema de arte y cultura para todos. </w:t>
            </w:r>
          </w:p>
        </w:tc>
        <w:tc>
          <w:tcPr>
            <w:tcW w:w="2993"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Los planteles educativos públicos del nivel básico en el estado cuentan con los recursos suficientes para apoyar su operación y los procesos de gestión es</w:t>
            </w:r>
            <w:r>
              <w:rPr>
                <w:rFonts w:ascii="Century Gothic" w:hAnsi="Century Gothic" w:cs="Arial"/>
              </w:rPr>
              <w:t>colar.</w:t>
            </w:r>
          </w:p>
        </w:tc>
      </w:tr>
    </w:tbl>
    <w:p w:rsidR="002F71E6" w:rsidRPr="00855815" w:rsidRDefault="002F71E6" w:rsidP="002F71E6">
      <w:pPr>
        <w:autoSpaceDE w:val="0"/>
        <w:autoSpaceDN w:val="0"/>
        <w:adjustRightInd w:val="0"/>
        <w:spacing w:after="0"/>
        <w:jc w:val="both"/>
        <w:rPr>
          <w:rFonts w:ascii="Century Gothic" w:hAnsi="Century Gothic" w:cs="Arial"/>
          <w:sz w:val="20"/>
          <w:szCs w:val="24"/>
        </w:rPr>
      </w:pPr>
      <w:r w:rsidRPr="00855815">
        <w:rPr>
          <w:rFonts w:ascii="Century Gothic" w:hAnsi="Century Gothic" w:cs="Arial"/>
          <w:sz w:val="20"/>
          <w:szCs w:val="24"/>
        </w:rPr>
        <w:t>Fuente: Identificación de Programas para el Ejercicio Fiscal 2017,</w:t>
      </w:r>
      <w:r>
        <w:rPr>
          <w:rFonts w:ascii="Century Gothic" w:hAnsi="Century Gothic" w:cs="Arial"/>
          <w:sz w:val="20"/>
          <w:szCs w:val="24"/>
        </w:rPr>
        <w:t xml:space="preserve"> Programa Operativo Anual, Avance al Segundo Trimestre, </w:t>
      </w:r>
      <w:r w:rsidRPr="00855815">
        <w:rPr>
          <w:rFonts w:ascii="Century Gothic" w:hAnsi="Century Gothic" w:cs="Arial"/>
          <w:sz w:val="20"/>
          <w:szCs w:val="24"/>
        </w:rPr>
        <w:t xml:space="preserve">elaborado por la Secretaría de Planeación y Finanzas.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Es clara la congruencia del Fin y los Propósitos de los programas presupuestarios del Programa Operativo Anual (POA) 2017   con el Fin del Fondo,  sin embargo para concluir con este análisis de cumplimiento de los objetos, en necesario analizar las principales metas establecidas en el POA.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El objetivo a nivel Fin tiene una medición que va más allá del ejercicio fiscal, por lo anterior, el objetivo principal, es el del nivel de Propósito. </w:t>
      </w:r>
    </w:p>
    <w:p w:rsidR="002F71E6"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En la estructura programática del Programa Operativo Anual de la ISEP para el ejercicio 2017 (mediante el cual se ejercen los recursos del Fondo en el Estado), </w:t>
      </w:r>
      <w:r>
        <w:rPr>
          <w:rFonts w:ascii="Century Gothic" w:hAnsi="Century Gothic" w:cs="Arial"/>
          <w:sz w:val="24"/>
          <w:szCs w:val="24"/>
        </w:rPr>
        <w:t xml:space="preserve">el Instituto </w:t>
      </w:r>
      <w:r w:rsidRPr="003B1CCD">
        <w:rPr>
          <w:rFonts w:ascii="Century Gothic" w:hAnsi="Century Gothic" w:cs="Arial"/>
          <w:sz w:val="24"/>
          <w:szCs w:val="24"/>
        </w:rPr>
        <w:t xml:space="preserve">contó al </w:t>
      </w:r>
      <w:r>
        <w:rPr>
          <w:rFonts w:ascii="Century Gothic" w:hAnsi="Century Gothic" w:cs="Arial"/>
          <w:sz w:val="24"/>
          <w:szCs w:val="24"/>
        </w:rPr>
        <w:t>mes de abril</w:t>
      </w:r>
      <w:r w:rsidRPr="003B1CCD">
        <w:rPr>
          <w:rFonts w:ascii="Century Gothic" w:hAnsi="Century Gothic" w:cs="Arial"/>
          <w:sz w:val="24"/>
          <w:szCs w:val="24"/>
        </w:rPr>
        <w:t xml:space="preserve"> con un cumplimiento programá</w:t>
      </w:r>
      <w:r>
        <w:rPr>
          <w:rFonts w:ascii="Century Gothic" w:hAnsi="Century Gothic" w:cs="Arial"/>
          <w:sz w:val="24"/>
          <w:szCs w:val="24"/>
        </w:rPr>
        <w:t>tico de  89.72% en un total de 72</w:t>
      </w:r>
      <w:r w:rsidRPr="003B1CCD">
        <w:rPr>
          <w:rFonts w:ascii="Century Gothic" w:hAnsi="Century Gothic" w:cs="Arial"/>
          <w:sz w:val="24"/>
          <w:szCs w:val="24"/>
        </w:rPr>
        <w:t xml:space="preserve"> metas.</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 xml:space="preserve">Para analizar la congruencia que estos Programas Presupuestarios estatales guardan, con la estructura de la Matriz de Indicadores de Resultados del Fondo, se presenta sus Fines y Propósitos:  </w:t>
      </w:r>
    </w:p>
    <w:p w:rsidR="002F71E6" w:rsidRPr="003B1CCD" w:rsidRDefault="002F71E6" w:rsidP="002F71E6">
      <w:pPr>
        <w:tabs>
          <w:tab w:val="left" w:pos="5073"/>
        </w:tabs>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ab/>
      </w:r>
    </w:p>
    <w:p w:rsidR="002F71E6" w:rsidRPr="003B1CCD" w:rsidRDefault="002F71E6" w:rsidP="002F71E6">
      <w:pPr>
        <w:autoSpaceDE w:val="0"/>
        <w:autoSpaceDN w:val="0"/>
        <w:adjustRightInd w:val="0"/>
        <w:spacing w:after="0"/>
        <w:jc w:val="both"/>
        <w:rPr>
          <w:rFonts w:ascii="Century Gothic" w:hAnsi="Century Gothic" w:cs="Arial"/>
          <w:sz w:val="24"/>
          <w:szCs w:val="24"/>
        </w:rPr>
      </w:pPr>
    </w:p>
    <w:tbl>
      <w:tblPr>
        <w:tblStyle w:val="Tablaconcuadrcula"/>
        <w:tblW w:w="8982" w:type="dxa"/>
        <w:jc w:val="center"/>
        <w:tblLayout w:type="fixed"/>
        <w:tblLook w:val="04A0" w:firstRow="1" w:lastRow="0" w:firstColumn="1" w:lastColumn="0" w:noHBand="0" w:noVBand="1"/>
      </w:tblPr>
      <w:tblGrid>
        <w:gridCol w:w="640"/>
        <w:gridCol w:w="5248"/>
        <w:gridCol w:w="1345"/>
        <w:gridCol w:w="1749"/>
      </w:tblGrid>
      <w:tr w:rsidR="002F71E6" w:rsidRPr="00406AE8" w:rsidTr="000D38C7">
        <w:trPr>
          <w:trHeight w:val="705"/>
          <w:jc w:val="center"/>
        </w:trPr>
        <w:tc>
          <w:tcPr>
            <w:tcW w:w="640"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No.</w:t>
            </w:r>
          </w:p>
        </w:tc>
        <w:tc>
          <w:tcPr>
            <w:tcW w:w="5248"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Programa Presupuestario Estatal</w:t>
            </w:r>
          </w:p>
        </w:tc>
        <w:tc>
          <w:tcPr>
            <w:tcW w:w="1345"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Número de Metas</w:t>
            </w:r>
          </w:p>
        </w:tc>
        <w:tc>
          <w:tcPr>
            <w:tcW w:w="1749" w:type="dxa"/>
            <w:vAlign w:val="center"/>
          </w:tcPr>
          <w:p w:rsidR="002F71E6" w:rsidRPr="00406AE8" w:rsidRDefault="002F71E6" w:rsidP="000D38C7">
            <w:pPr>
              <w:autoSpaceDE w:val="0"/>
              <w:autoSpaceDN w:val="0"/>
              <w:adjustRightInd w:val="0"/>
              <w:jc w:val="center"/>
              <w:rPr>
                <w:rFonts w:ascii="Century Gothic" w:hAnsi="Century Gothic" w:cs="Arial"/>
                <w:b/>
              </w:rPr>
            </w:pPr>
            <w:r w:rsidRPr="00406AE8">
              <w:rPr>
                <w:rFonts w:ascii="Century Gothic" w:hAnsi="Century Gothic" w:cs="Arial"/>
                <w:b/>
              </w:rPr>
              <w:t xml:space="preserve">% de Cumplimiento </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006</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Gestión y Conducción de la Política Institucional </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3</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58%</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008</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Administración </w:t>
            </w:r>
          </w:p>
        </w:tc>
        <w:tc>
          <w:tcPr>
            <w:tcW w:w="1345" w:type="dxa"/>
          </w:tcPr>
          <w:p w:rsidR="002F71E6" w:rsidRPr="00A12907" w:rsidRDefault="002F71E6" w:rsidP="000D38C7">
            <w:pPr>
              <w:tabs>
                <w:tab w:val="center" w:pos="813"/>
              </w:tabs>
              <w:autoSpaceDE w:val="0"/>
              <w:autoSpaceDN w:val="0"/>
              <w:adjustRightInd w:val="0"/>
              <w:jc w:val="center"/>
              <w:rPr>
                <w:rFonts w:ascii="Century Gothic" w:hAnsi="Century Gothic" w:cs="Arial"/>
              </w:rPr>
            </w:pPr>
            <w:r w:rsidRPr="00A12907">
              <w:rPr>
                <w:rFonts w:ascii="Century Gothic" w:hAnsi="Century Gothic" w:cs="Arial"/>
              </w:rPr>
              <w:t>6</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47%</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059</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Calidad y Equidad en Educación Básica</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33</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60%</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062</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Apoyos y Estímulos Educativos</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9</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16%</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063</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Servicio Profesional Docente </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10</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75%</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099</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Infraestructura en el Sector Educativo</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2</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44%</w:t>
            </w:r>
          </w:p>
        </w:tc>
      </w:tr>
      <w:tr w:rsidR="002F71E6" w:rsidRPr="00A12907" w:rsidTr="000D38C7">
        <w:trPr>
          <w:trHeight w:val="23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163</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 xml:space="preserve">Participación Social y Formación Ciudadana </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5</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22%</w:t>
            </w:r>
          </w:p>
        </w:tc>
      </w:tr>
      <w:tr w:rsidR="002F71E6" w:rsidRPr="00A12907" w:rsidTr="000D38C7">
        <w:trPr>
          <w:trHeight w:val="460"/>
          <w:jc w:val="center"/>
        </w:trPr>
        <w:tc>
          <w:tcPr>
            <w:tcW w:w="640"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167</w:t>
            </w:r>
          </w:p>
        </w:tc>
        <w:tc>
          <w:tcPr>
            <w:tcW w:w="5248" w:type="dxa"/>
          </w:tcPr>
          <w:p w:rsidR="002F71E6" w:rsidRPr="00A12907" w:rsidRDefault="002F71E6" w:rsidP="000D38C7">
            <w:pPr>
              <w:autoSpaceDE w:val="0"/>
              <w:autoSpaceDN w:val="0"/>
              <w:adjustRightInd w:val="0"/>
              <w:jc w:val="both"/>
              <w:rPr>
                <w:rFonts w:ascii="Century Gothic" w:hAnsi="Century Gothic" w:cs="Arial"/>
              </w:rPr>
            </w:pPr>
            <w:r w:rsidRPr="00A12907">
              <w:rPr>
                <w:rFonts w:ascii="Century Gothic" w:hAnsi="Century Gothic" w:cs="Arial"/>
              </w:rPr>
              <w:t>Programa de Insumos y Mantenimiento para el Entorno Educativo</w:t>
            </w:r>
          </w:p>
        </w:tc>
        <w:tc>
          <w:tcPr>
            <w:tcW w:w="1345" w:type="dxa"/>
          </w:tcPr>
          <w:p w:rsidR="002F71E6" w:rsidRPr="00A12907" w:rsidRDefault="002F71E6" w:rsidP="000D38C7">
            <w:pPr>
              <w:autoSpaceDE w:val="0"/>
              <w:autoSpaceDN w:val="0"/>
              <w:adjustRightInd w:val="0"/>
              <w:jc w:val="center"/>
              <w:rPr>
                <w:rFonts w:ascii="Century Gothic" w:hAnsi="Century Gothic" w:cs="Arial"/>
              </w:rPr>
            </w:pPr>
            <w:r w:rsidRPr="00A12907">
              <w:rPr>
                <w:rFonts w:ascii="Century Gothic" w:hAnsi="Century Gothic" w:cs="Arial"/>
              </w:rPr>
              <w:t>3</w:t>
            </w:r>
          </w:p>
        </w:tc>
        <w:tc>
          <w:tcPr>
            <w:tcW w:w="1749" w:type="dxa"/>
            <w:shd w:val="clear" w:color="auto" w:fill="auto"/>
          </w:tcPr>
          <w:p w:rsidR="002F71E6" w:rsidRPr="00A12907" w:rsidRDefault="002F71E6" w:rsidP="000D38C7">
            <w:pPr>
              <w:autoSpaceDE w:val="0"/>
              <w:autoSpaceDN w:val="0"/>
              <w:adjustRightInd w:val="0"/>
              <w:jc w:val="center"/>
              <w:rPr>
                <w:rFonts w:ascii="Century Gothic" w:hAnsi="Century Gothic" w:cs="Arial"/>
              </w:rPr>
            </w:pPr>
            <w:r>
              <w:rPr>
                <w:rFonts w:ascii="Century Gothic" w:hAnsi="Century Gothic" w:cs="Arial"/>
              </w:rPr>
              <w:t>2%</w:t>
            </w:r>
          </w:p>
        </w:tc>
      </w:tr>
    </w:tbl>
    <w:p w:rsidR="002F71E6" w:rsidRPr="00A17C6A" w:rsidRDefault="002F71E6" w:rsidP="002F71E6">
      <w:pPr>
        <w:autoSpaceDE w:val="0"/>
        <w:autoSpaceDN w:val="0"/>
        <w:adjustRightInd w:val="0"/>
        <w:spacing w:after="0"/>
        <w:jc w:val="both"/>
        <w:rPr>
          <w:rFonts w:ascii="Century Gothic" w:hAnsi="Century Gothic" w:cs="Arial"/>
          <w:b/>
          <w:sz w:val="24"/>
          <w:szCs w:val="24"/>
        </w:rPr>
      </w:pPr>
      <w:r w:rsidRPr="00A17C6A">
        <w:rPr>
          <w:rFonts w:ascii="Century Gothic" w:hAnsi="Century Gothic" w:cs="Arial"/>
          <w:b/>
          <w:sz w:val="24"/>
          <w:szCs w:val="24"/>
        </w:rPr>
        <w:t xml:space="preserve">Fuente: </w:t>
      </w:r>
      <w:r w:rsidRPr="00A17C6A">
        <w:rPr>
          <w:rFonts w:ascii="Century Gothic" w:hAnsi="Century Gothic" w:cs="Arial"/>
          <w:sz w:val="24"/>
          <w:szCs w:val="24"/>
        </w:rPr>
        <w:t>Monitoreo Programático al II Trimestre del 2017, elaborado por la Secretaría de Planeación y Finanzas.</w:t>
      </w:r>
      <w:r w:rsidRPr="00A17C6A">
        <w:rPr>
          <w:rFonts w:ascii="Century Gothic" w:hAnsi="Century Gothic" w:cs="Arial"/>
          <w:b/>
          <w:sz w:val="24"/>
          <w:szCs w:val="24"/>
        </w:rPr>
        <w:t xml:space="preserve"> </w:t>
      </w:r>
      <w:r>
        <w:rPr>
          <w:rFonts w:ascii="Century Gothic" w:hAnsi="Century Gothic" w:cs="Arial"/>
          <w:b/>
          <w:sz w:val="24"/>
          <w:szCs w:val="24"/>
        </w:rPr>
        <w:t xml:space="preserve">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Debido a que el objetivo del Fin tiene una medición que va más allá del ejercicio fiscal en cuestión no se considerará como objetivo principal, siendo este el objetivo del nivel de Propósito que a su letra dice: </w:t>
      </w:r>
    </w:p>
    <w:p w:rsidR="002F71E6" w:rsidRPr="009E33AC" w:rsidRDefault="002F71E6" w:rsidP="002F71E6">
      <w:pPr>
        <w:autoSpaceDE w:val="0"/>
        <w:autoSpaceDN w:val="0"/>
        <w:adjustRightInd w:val="0"/>
        <w:spacing w:after="0"/>
        <w:jc w:val="both"/>
        <w:rPr>
          <w:rFonts w:ascii="Century Gothic" w:hAnsi="Century Gothic" w:cs="Arial"/>
          <w:sz w:val="28"/>
          <w:szCs w:val="24"/>
        </w:rPr>
      </w:pPr>
      <w:r w:rsidRPr="009E33AC">
        <w:rPr>
          <w:rFonts w:ascii="Century Gothic" w:hAnsi="Century Gothic" w:cs="Arial"/>
          <w:sz w:val="28"/>
          <w:szCs w:val="24"/>
        </w:rPr>
        <w:t xml:space="preserve"> </w:t>
      </w:r>
    </w:p>
    <w:p w:rsidR="002F71E6" w:rsidRPr="009E33AC" w:rsidRDefault="002F71E6" w:rsidP="002F71E6">
      <w:pPr>
        <w:autoSpaceDE w:val="0"/>
        <w:autoSpaceDN w:val="0"/>
        <w:adjustRightInd w:val="0"/>
        <w:spacing w:after="0"/>
        <w:jc w:val="both"/>
        <w:rPr>
          <w:rFonts w:ascii="Century Gothic" w:hAnsi="Century Gothic" w:cs="Arial"/>
          <w:sz w:val="28"/>
          <w:szCs w:val="24"/>
        </w:rPr>
      </w:pPr>
      <w:r w:rsidRPr="009E33AC">
        <w:rPr>
          <w:rFonts w:ascii="Century Gothic" w:eastAsia="Times New Roman" w:hAnsi="Century Gothic" w:cs="Times New Roman"/>
          <w:i/>
          <w:color w:val="000000"/>
          <w:sz w:val="24"/>
        </w:rPr>
        <w:t xml:space="preserve">“La población en edad de asistir a la escuela tiene acceso y concluye sus estudios de educación básica, incluyendo la indígena y especial, derivado de la aplicación de los recursos del Fondo de Aportaciones para la Nómina Educativa y Gasto Operativo (FONE)” </w:t>
      </w:r>
    </w:p>
    <w:p w:rsidR="002F71E6" w:rsidRPr="009E33AC" w:rsidRDefault="002F71E6" w:rsidP="002F71E6">
      <w:pPr>
        <w:autoSpaceDE w:val="0"/>
        <w:autoSpaceDN w:val="0"/>
        <w:adjustRightInd w:val="0"/>
        <w:spacing w:after="0"/>
        <w:jc w:val="both"/>
        <w:rPr>
          <w:rFonts w:ascii="Century Gothic" w:hAnsi="Century Gothic" w:cs="Arial"/>
          <w:sz w:val="28"/>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A continuación se muestra el cumplimiento alcanzado de las metas que inciden en el logro del objetivo principal:</w:t>
      </w:r>
    </w:p>
    <w:p w:rsidR="0093724E" w:rsidRDefault="0093724E"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p>
    <w:tbl>
      <w:tblPr>
        <w:tblStyle w:val="Tablaconcuadrcula"/>
        <w:tblW w:w="0" w:type="auto"/>
        <w:jc w:val="center"/>
        <w:tblLook w:val="04A0" w:firstRow="1" w:lastRow="0" w:firstColumn="1" w:lastColumn="0" w:noHBand="0" w:noVBand="1"/>
      </w:tblPr>
      <w:tblGrid>
        <w:gridCol w:w="3936"/>
        <w:gridCol w:w="1701"/>
        <w:gridCol w:w="1548"/>
        <w:gridCol w:w="1869"/>
      </w:tblGrid>
      <w:tr w:rsidR="002F71E6" w:rsidTr="000D38C7">
        <w:trPr>
          <w:jc w:val="center"/>
        </w:trPr>
        <w:tc>
          <w:tcPr>
            <w:tcW w:w="3936" w:type="dxa"/>
          </w:tcPr>
          <w:p w:rsidR="002F71E6" w:rsidRDefault="002F71E6" w:rsidP="000D38C7">
            <w:pPr>
              <w:autoSpaceDE w:val="0"/>
              <w:autoSpaceDN w:val="0"/>
              <w:adjustRightInd w:val="0"/>
              <w:jc w:val="both"/>
              <w:rPr>
                <w:rFonts w:ascii="Century Gothic" w:hAnsi="Century Gothic" w:cs="Arial"/>
                <w:b/>
                <w:sz w:val="24"/>
                <w:szCs w:val="24"/>
              </w:rPr>
            </w:pPr>
            <w:r>
              <w:rPr>
                <w:rFonts w:ascii="Century Gothic" w:hAnsi="Century Gothic" w:cs="Arial"/>
                <w:b/>
                <w:sz w:val="24"/>
                <w:szCs w:val="24"/>
              </w:rPr>
              <w:lastRenderedPageBreak/>
              <w:t>Descripción de la Meta</w:t>
            </w:r>
          </w:p>
        </w:tc>
        <w:tc>
          <w:tcPr>
            <w:tcW w:w="1701" w:type="dxa"/>
          </w:tcPr>
          <w:p w:rsidR="002F71E6" w:rsidRDefault="002F71E6" w:rsidP="000D38C7">
            <w:pPr>
              <w:autoSpaceDE w:val="0"/>
              <w:autoSpaceDN w:val="0"/>
              <w:adjustRightInd w:val="0"/>
              <w:jc w:val="both"/>
              <w:rPr>
                <w:rFonts w:ascii="Century Gothic" w:hAnsi="Century Gothic" w:cs="Arial"/>
                <w:b/>
                <w:sz w:val="24"/>
                <w:szCs w:val="24"/>
              </w:rPr>
            </w:pPr>
            <w:r>
              <w:rPr>
                <w:rFonts w:ascii="Century Gothic" w:hAnsi="Century Gothic" w:cs="Arial"/>
                <w:b/>
                <w:sz w:val="24"/>
                <w:szCs w:val="24"/>
              </w:rPr>
              <w:t>Programado</w:t>
            </w:r>
          </w:p>
        </w:tc>
        <w:tc>
          <w:tcPr>
            <w:tcW w:w="1548" w:type="dxa"/>
          </w:tcPr>
          <w:p w:rsidR="002F71E6" w:rsidRDefault="002F71E6" w:rsidP="000D38C7">
            <w:pPr>
              <w:autoSpaceDE w:val="0"/>
              <w:autoSpaceDN w:val="0"/>
              <w:adjustRightInd w:val="0"/>
              <w:jc w:val="both"/>
              <w:rPr>
                <w:rFonts w:ascii="Century Gothic" w:hAnsi="Century Gothic" w:cs="Arial"/>
                <w:b/>
                <w:sz w:val="24"/>
                <w:szCs w:val="24"/>
              </w:rPr>
            </w:pPr>
            <w:r>
              <w:rPr>
                <w:rFonts w:ascii="Century Gothic" w:hAnsi="Century Gothic" w:cs="Arial"/>
                <w:b/>
                <w:sz w:val="24"/>
                <w:szCs w:val="24"/>
              </w:rPr>
              <w:t>Realizado</w:t>
            </w:r>
          </w:p>
        </w:tc>
        <w:tc>
          <w:tcPr>
            <w:tcW w:w="1869" w:type="dxa"/>
          </w:tcPr>
          <w:p w:rsidR="002F71E6" w:rsidRDefault="002F71E6" w:rsidP="000D38C7">
            <w:pPr>
              <w:autoSpaceDE w:val="0"/>
              <w:autoSpaceDN w:val="0"/>
              <w:adjustRightInd w:val="0"/>
              <w:jc w:val="both"/>
              <w:rPr>
                <w:rFonts w:ascii="Century Gothic" w:hAnsi="Century Gothic" w:cs="Arial"/>
                <w:b/>
                <w:sz w:val="24"/>
                <w:szCs w:val="24"/>
              </w:rPr>
            </w:pPr>
            <w:r>
              <w:rPr>
                <w:rFonts w:ascii="Century Gothic" w:hAnsi="Century Gothic" w:cs="Arial"/>
                <w:b/>
                <w:sz w:val="24"/>
                <w:szCs w:val="24"/>
              </w:rPr>
              <w:t>% de Cumplimiento al 2do trimestre del 2017</w:t>
            </w:r>
          </w:p>
        </w:tc>
      </w:tr>
      <w:tr w:rsidR="002F71E6" w:rsidRPr="00A8497C" w:rsidTr="000D38C7">
        <w:trPr>
          <w:jc w:val="center"/>
        </w:trPr>
        <w:tc>
          <w:tcPr>
            <w:tcW w:w="3936" w:type="dxa"/>
          </w:tcPr>
          <w:p w:rsidR="002F71E6" w:rsidRPr="00A8497C" w:rsidRDefault="002F71E6" w:rsidP="000D38C7">
            <w:pPr>
              <w:autoSpaceDE w:val="0"/>
              <w:autoSpaceDN w:val="0"/>
              <w:adjustRightInd w:val="0"/>
              <w:jc w:val="both"/>
              <w:rPr>
                <w:rFonts w:ascii="Century Gothic" w:hAnsi="Century Gothic" w:cs="Arial"/>
                <w:sz w:val="24"/>
                <w:szCs w:val="24"/>
              </w:rPr>
            </w:pPr>
            <w:r w:rsidRPr="00A8497C">
              <w:rPr>
                <w:rFonts w:ascii="Century Gothic" w:hAnsi="Century Gothic" w:cs="Arial"/>
                <w:sz w:val="24"/>
                <w:szCs w:val="24"/>
              </w:rPr>
              <w:t>Mantener el 94%  la eficiencia terminal en primarias</w:t>
            </w:r>
          </w:p>
        </w:tc>
        <w:tc>
          <w:tcPr>
            <w:tcW w:w="1701"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94</w:t>
            </w:r>
          </w:p>
        </w:tc>
        <w:tc>
          <w:tcPr>
            <w:tcW w:w="1548"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0</w:t>
            </w:r>
          </w:p>
        </w:tc>
        <w:tc>
          <w:tcPr>
            <w:tcW w:w="1869"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N/P</w:t>
            </w:r>
          </w:p>
        </w:tc>
      </w:tr>
      <w:tr w:rsidR="002F71E6" w:rsidRPr="00A8497C" w:rsidTr="000D38C7">
        <w:trPr>
          <w:jc w:val="center"/>
        </w:trPr>
        <w:tc>
          <w:tcPr>
            <w:tcW w:w="3936" w:type="dxa"/>
          </w:tcPr>
          <w:p w:rsidR="002F71E6" w:rsidRPr="00A8497C" w:rsidRDefault="002F71E6" w:rsidP="000D38C7">
            <w:pPr>
              <w:autoSpaceDE w:val="0"/>
              <w:autoSpaceDN w:val="0"/>
              <w:adjustRightInd w:val="0"/>
              <w:jc w:val="both"/>
              <w:rPr>
                <w:rFonts w:ascii="Century Gothic" w:hAnsi="Century Gothic" w:cs="Arial"/>
                <w:sz w:val="24"/>
                <w:szCs w:val="24"/>
              </w:rPr>
            </w:pPr>
            <w:r w:rsidRPr="00A8497C">
              <w:rPr>
                <w:rFonts w:ascii="Century Gothic" w:hAnsi="Century Gothic" w:cs="Arial"/>
                <w:sz w:val="24"/>
                <w:szCs w:val="24"/>
              </w:rPr>
              <w:t>Mantener el 82% la eficiencia terminal en secundarias</w:t>
            </w:r>
          </w:p>
        </w:tc>
        <w:tc>
          <w:tcPr>
            <w:tcW w:w="1701"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82</w:t>
            </w:r>
          </w:p>
        </w:tc>
        <w:tc>
          <w:tcPr>
            <w:tcW w:w="1548"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0</w:t>
            </w:r>
          </w:p>
        </w:tc>
        <w:tc>
          <w:tcPr>
            <w:tcW w:w="1869"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N/P</w:t>
            </w:r>
          </w:p>
        </w:tc>
      </w:tr>
      <w:tr w:rsidR="002F71E6" w:rsidRPr="00A8497C" w:rsidTr="000D38C7">
        <w:trPr>
          <w:jc w:val="center"/>
        </w:trPr>
        <w:tc>
          <w:tcPr>
            <w:tcW w:w="3936" w:type="dxa"/>
          </w:tcPr>
          <w:p w:rsidR="002F71E6" w:rsidRPr="00A8497C" w:rsidRDefault="002F71E6" w:rsidP="000D38C7">
            <w:pPr>
              <w:autoSpaceDE w:val="0"/>
              <w:autoSpaceDN w:val="0"/>
              <w:adjustRightInd w:val="0"/>
              <w:jc w:val="both"/>
              <w:rPr>
                <w:rFonts w:ascii="Century Gothic" w:hAnsi="Century Gothic" w:cs="Arial"/>
                <w:sz w:val="24"/>
                <w:szCs w:val="24"/>
              </w:rPr>
            </w:pPr>
            <w:r w:rsidRPr="00A8497C">
              <w:rPr>
                <w:rFonts w:ascii="Century Gothic" w:hAnsi="Century Gothic" w:cs="Arial"/>
                <w:sz w:val="24"/>
                <w:szCs w:val="24"/>
              </w:rPr>
              <w:t xml:space="preserve">Atender al 100% de niñas y niños que soliciten el servicio de educación especial. </w:t>
            </w:r>
          </w:p>
        </w:tc>
        <w:tc>
          <w:tcPr>
            <w:tcW w:w="1701"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25104</w:t>
            </w:r>
          </w:p>
        </w:tc>
        <w:tc>
          <w:tcPr>
            <w:tcW w:w="1548"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11</w:t>
            </w:r>
          </w:p>
        </w:tc>
        <w:tc>
          <w:tcPr>
            <w:tcW w:w="1869" w:type="dxa"/>
          </w:tcPr>
          <w:p w:rsidR="002F71E6" w:rsidRPr="00A8497C" w:rsidRDefault="002F71E6" w:rsidP="000D38C7">
            <w:pPr>
              <w:autoSpaceDE w:val="0"/>
              <w:autoSpaceDN w:val="0"/>
              <w:adjustRightInd w:val="0"/>
              <w:jc w:val="center"/>
              <w:rPr>
                <w:rFonts w:ascii="Century Gothic" w:hAnsi="Century Gothic" w:cs="Arial"/>
                <w:sz w:val="24"/>
                <w:szCs w:val="24"/>
              </w:rPr>
            </w:pPr>
            <w:r>
              <w:rPr>
                <w:rFonts w:ascii="Century Gothic" w:hAnsi="Century Gothic" w:cs="Arial"/>
                <w:sz w:val="24"/>
                <w:szCs w:val="24"/>
              </w:rPr>
              <w:t xml:space="preserve">0.043% </w:t>
            </w:r>
          </w:p>
        </w:tc>
      </w:tr>
      <w:tr w:rsidR="002F71E6" w:rsidRPr="00A8497C" w:rsidTr="000D38C7">
        <w:trPr>
          <w:jc w:val="center"/>
        </w:trPr>
        <w:tc>
          <w:tcPr>
            <w:tcW w:w="3936" w:type="dxa"/>
          </w:tcPr>
          <w:p w:rsidR="002F71E6" w:rsidRPr="00A8497C" w:rsidRDefault="002F71E6" w:rsidP="000D38C7">
            <w:pPr>
              <w:autoSpaceDE w:val="0"/>
              <w:autoSpaceDN w:val="0"/>
              <w:adjustRightInd w:val="0"/>
              <w:jc w:val="both"/>
              <w:rPr>
                <w:rFonts w:ascii="Century Gothic" w:hAnsi="Century Gothic" w:cs="Arial"/>
                <w:sz w:val="24"/>
                <w:szCs w:val="24"/>
              </w:rPr>
            </w:pPr>
            <w:r w:rsidRPr="00A8497C">
              <w:rPr>
                <w:rFonts w:ascii="Century Gothic" w:hAnsi="Century Gothic" w:cs="Arial"/>
                <w:sz w:val="24"/>
                <w:szCs w:val="24"/>
              </w:rPr>
              <w:t>Atender al 100% de niñas y niños que soliciten el servicio de educación indígena.</w:t>
            </w:r>
          </w:p>
        </w:tc>
        <w:tc>
          <w:tcPr>
            <w:tcW w:w="1701"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15021</w:t>
            </w:r>
          </w:p>
        </w:tc>
        <w:tc>
          <w:tcPr>
            <w:tcW w:w="1548"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0</w:t>
            </w:r>
          </w:p>
        </w:tc>
        <w:tc>
          <w:tcPr>
            <w:tcW w:w="1869"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N/P</w:t>
            </w:r>
          </w:p>
        </w:tc>
      </w:tr>
      <w:tr w:rsidR="002F71E6" w:rsidRPr="00A8497C" w:rsidTr="000D38C7">
        <w:trPr>
          <w:jc w:val="center"/>
        </w:trPr>
        <w:tc>
          <w:tcPr>
            <w:tcW w:w="3936" w:type="dxa"/>
          </w:tcPr>
          <w:p w:rsidR="002F71E6" w:rsidRPr="00A8497C" w:rsidRDefault="002F71E6" w:rsidP="000D38C7">
            <w:pPr>
              <w:autoSpaceDE w:val="0"/>
              <w:autoSpaceDN w:val="0"/>
              <w:adjustRightInd w:val="0"/>
              <w:jc w:val="both"/>
              <w:rPr>
                <w:rFonts w:ascii="Century Gothic" w:hAnsi="Century Gothic" w:cs="Arial"/>
                <w:sz w:val="24"/>
                <w:szCs w:val="24"/>
              </w:rPr>
            </w:pPr>
            <w:r w:rsidRPr="00A8497C">
              <w:rPr>
                <w:rFonts w:ascii="Century Gothic" w:hAnsi="Century Gothic" w:cs="Arial"/>
                <w:sz w:val="24"/>
                <w:szCs w:val="24"/>
              </w:rPr>
              <w:t>Atender al 100% de los alumnos en los tres niveles de educación básica</w:t>
            </w:r>
          </w:p>
        </w:tc>
        <w:tc>
          <w:tcPr>
            <w:tcW w:w="1701"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368570</w:t>
            </w:r>
          </w:p>
        </w:tc>
        <w:tc>
          <w:tcPr>
            <w:tcW w:w="1548"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0</w:t>
            </w:r>
          </w:p>
        </w:tc>
        <w:tc>
          <w:tcPr>
            <w:tcW w:w="1869" w:type="dxa"/>
          </w:tcPr>
          <w:p w:rsidR="002F71E6" w:rsidRPr="00A8497C" w:rsidRDefault="002F71E6" w:rsidP="000D38C7">
            <w:pPr>
              <w:autoSpaceDE w:val="0"/>
              <w:autoSpaceDN w:val="0"/>
              <w:adjustRightInd w:val="0"/>
              <w:jc w:val="center"/>
              <w:rPr>
                <w:rFonts w:ascii="Century Gothic" w:hAnsi="Century Gothic" w:cs="Arial"/>
                <w:sz w:val="24"/>
                <w:szCs w:val="24"/>
              </w:rPr>
            </w:pPr>
            <w:r w:rsidRPr="00A8497C">
              <w:rPr>
                <w:rFonts w:ascii="Century Gothic" w:hAnsi="Century Gothic" w:cs="Arial"/>
                <w:sz w:val="24"/>
                <w:szCs w:val="24"/>
              </w:rPr>
              <w:t>N/P</w:t>
            </w:r>
          </w:p>
        </w:tc>
      </w:tr>
    </w:tbl>
    <w:p w:rsidR="0093724E" w:rsidRDefault="0093724E" w:rsidP="002F71E6">
      <w:pPr>
        <w:autoSpaceDE w:val="0"/>
        <w:autoSpaceDN w:val="0"/>
        <w:adjustRightInd w:val="0"/>
        <w:spacing w:after="0"/>
        <w:jc w:val="both"/>
        <w:rPr>
          <w:rFonts w:ascii="Century Gothic" w:hAnsi="Century Gothic" w:cs="Arial"/>
          <w:b/>
          <w:sz w:val="24"/>
          <w:szCs w:val="24"/>
        </w:rPr>
      </w:pPr>
    </w:p>
    <w:p w:rsidR="002F71E6" w:rsidRDefault="002F71E6" w:rsidP="002F71E6">
      <w:pPr>
        <w:autoSpaceDE w:val="0"/>
        <w:autoSpaceDN w:val="0"/>
        <w:adjustRightInd w:val="0"/>
        <w:spacing w:after="0"/>
        <w:jc w:val="both"/>
        <w:rPr>
          <w:rFonts w:ascii="Century Gothic" w:hAnsi="Century Gothic"/>
          <w:sz w:val="24"/>
          <w:szCs w:val="24"/>
        </w:rPr>
      </w:pPr>
      <w:r>
        <w:rPr>
          <w:rFonts w:ascii="Century Gothic" w:hAnsi="Century Gothic" w:cs="Arial"/>
          <w:b/>
          <w:sz w:val="24"/>
          <w:szCs w:val="24"/>
        </w:rPr>
        <w:t xml:space="preserve">Fuente: Elaboración propia, </w:t>
      </w:r>
      <w:r w:rsidR="00CB57E7">
        <w:rPr>
          <w:rFonts w:ascii="Century Gothic" w:hAnsi="Century Gothic"/>
          <w:sz w:val="24"/>
          <w:szCs w:val="24"/>
        </w:rPr>
        <w:t>con</w:t>
      </w:r>
      <w:r w:rsidRPr="003B1CCD">
        <w:rPr>
          <w:rFonts w:ascii="Century Gothic" w:hAnsi="Century Gothic"/>
          <w:sz w:val="24"/>
          <w:szCs w:val="24"/>
        </w:rPr>
        <w:t xml:space="preserve"> </w:t>
      </w:r>
      <w:r>
        <w:rPr>
          <w:rFonts w:ascii="Century Gothic" w:hAnsi="Century Gothic"/>
          <w:sz w:val="24"/>
          <w:szCs w:val="24"/>
        </w:rPr>
        <w:t>base a</w:t>
      </w:r>
      <w:r w:rsidRPr="003B1CCD">
        <w:rPr>
          <w:rFonts w:ascii="Century Gothic" w:hAnsi="Century Gothic"/>
          <w:sz w:val="24"/>
          <w:szCs w:val="24"/>
        </w:rPr>
        <w:t xml:space="preserve"> los datos </w:t>
      </w:r>
      <w:r>
        <w:rPr>
          <w:rFonts w:ascii="Century Gothic" w:hAnsi="Century Gothic"/>
          <w:sz w:val="24"/>
          <w:szCs w:val="24"/>
        </w:rPr>
        <w:t>del Avance Programático al 2do trimestre del 2017, proporcionado por el ISEP</w:t>
      </w:r>
      <w:r w:rsidRPr="003B1CCD">
        <w:rPr>
          <w:rFonts w:ascii="Century Gothic" w:hAnsi="Century Gothic"/>
          <w:sz w:val="24"/>
          <w:szCs w:val="24"/>
        </w:rPr>
        <w:t>.</w:t>
      </w:r>
    </w:p>
    <w:p w:rsidR="002F71E6" w:rsidRDefault="002F71E6" w:rsidP="002F71E6">
      <w:pPr>
        <w:autoSpaceDE w:val="0"/>
        <w:autoSpaceDN w:val="0"/>
        <w:adjustRightInd w:val="0"/>
        <w:spacing w:after="0"/>
        <w:jc w:val="both"/>
        <w:rPr>
          <w:rFonts w:ascii="Century Gothic" w:hAnsi="Century Gothic"/>
          <w:sz w:val="24"/>
          <w:szCs w:val="24"/>
        </w:rPr>
      </w:pPr>
    </w:p>
    <w:p w:rsidR="002F71E6" w:rsidRDefault="002F71E6" w:rsidP="002F71E6">
      <w:pPr>
        <w:autoSpaceDE w:val="0"/>
        <w:autoSpaceDN w:val="0"/>
        <w:adjustRightInd w:val="0"/>
        <w:spacing w:after="0"/>
        <w:jc w:val="both"/>
        <w:rPr>
          <w:rFonts w:ascii="Century Gothic" w:hAnsi="Century Gothic"/>
          <w:sz w:val="24"/>
          <w:szCs w:val="24"/>
        </w:rPr>
      </w:pPr>
      <w:r>
        <w:rPr>
          <w:rFonts w:ascii="Century Gothic" w:hAnsi="Century Gothic"/>
          <w:sz w:val="24"/>
          <w:szCs w:val="24"/>
        </w:rPr>
        <w:t>En el entendido de que el resultado del cumplimiento de las metas está programado anualmente, la mayoría de estas serán reportadas hasta el cuarto trimestre.</w:t>
      </w:r>
    </w:p>
    <w:p w:rsidR="002F71E6" w:rsidRDefault="002F71E6" w:rsidP="002F71E6">
      <w:pPr>
        <w:autoSpaceDE w:val="0"/>
        <w:autoSpaceDN w:val="0"/>
        <w:adjustRightInd w:val="0"/>
        <w:spacing w:after="0"/>
        <w:jc w:val="both"/>
        <w:rPr>
          <w:rFonts w:ascii="Century Gothic" w:hAnsi="Century Gothic"/>
          <w:sz w:val="24"/>
          <w:szCs w:val="24"/>
        </w:rPr>
      </w:pPr>
    </w:p>
    <w:p w:rsidR="002F71E6" w:rsidRDefault="002F71E6" w:rsidP="002F71E6">
      <w:pPr>
        <w:autoSpaceDE w:val="0"/>
        <w:autoSpaceDN w:val="0"/>
        <w:adjustRightInd w:val="0"/>
        <w:spacing w:after="0"/>
        <w:jc w:val="both"/>
        <w:rPr>
          <w:rFonts w:ascii="Century Gothic" w:hAnsi="Century Gothic"/>
          <w:sz w:val="24"/>
          <w:szCs w:val="24"/>
        </w:rPr>
      </w:pPr>
      <w:r>
        <w:rPr>
          <w:rFonts w:ascii="Century Gothic" w:hAnsi="Century Gothic"/>
          <w:sz w:val="24"/>
          <w:szCs w:val="24"/>
        </w:rPr>
        <w:t xml:space="preserve">Para la meta “Atender al 100% de niñas y niños que soliciten el servicio de educación especial”, su cumplimiento es bajo, debido a que solamente se programó atender a once alumnos para el término del 2do trimestre, el resto será reportado hasta el cierre del 4to trimestre.  </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3.2 Análisis de los Indicadores </w:t>
      </w:r>
    </w:p>
    <w:p w:rsidR="002F71E6" w:rsidRPr="003B1CCD" w:rsidRDefault="002F71E6" w:rsidP="002F71E6">
      <w:pPr>
        <w:autoSpaceDE w:val="0"/>
        <w:autoSpaceDN w:val="0"/>
        <w:adjustRightInd w:val="0"/>
        <w:spacing w:after="0"/>
        <w:jc w:val="both"/>
        <w:rPr>
          <w:rFonts w:ascii="Century Gothic" w:hAnsi="Century Gothic" w:cs="Arial"/>
          <w:b/>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L</w:t>
      </w:r>
      <w:r w:rsidRPr="003B1CCD">
        <w:rPr>
          <w:rFonts w:ascii="Century Gothic" w:hAnsi="Century Gothic" w:cs="Arial"/>
          <w:sz w:val="24"/>
          <w:szCs w:val="24"/>
        </w:rPr>
        <w:t xml:space="preserve">os indicadores son elementos requeridos en todos los ámbitos gubernamentales, que se encuentra sustentados en la normatividad federal, estatal y municipal en muchos de los casos, ya que constituyen una herramienta que entrega información cuantitativa respecto del logro o resultado de los objetivos de la institución, cubriendo aspectos cuantitativos y cualitativos. </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lastRenderedPageBreak/>
        <w:t>De acuerdo a la información publicada en el Sistema del Formato Único de la Secretaría de Hacienda y Crédito Público sobre la aplicación y resultados del Gasto Federalizado el Fondo cuenta con 12 indicadores de resultados, los cuales son atendidos por el estado.</w:t>
      </w:r>
    </w:p>
    <w:p w:rsidR="0093724E" w:rsidRPr="0093724E" w:rsidRDefault="0093724E" w:rsidP="002F71E6">
      <w:pPr>
        <w:autoSpaceDE w:val="0"/>
        <w:autoSpaceDN w:val="0"/>
        <w:adjustRightInd w:val="0"/>
        <w:spacing w:after="0"/>
        <w:jc w:val="both"/>
        <w:rPr>
          <w:rFonts w:ascii="Century Gothic" w:hAnsi="Century Gothic" w:cs="Arial"/>
          <w:sz w:val="24"/>
          <w:szCs w:val="24"/>
        </w:rPr>
      </w:pPr>
    </w:p>
    <w:p w:rsidR="002F71E6" w:rsidRPr="00E7025B" w:rsidRDefault="002F71E6" w:rsidP="002F71E6">
      <w:pPr>
        <w:autoSpaceDE w:val="0"/>
        <w:autoSpaceDN w:val="0"/>
        <w:adjustRightInd w:val="0"/>
        <w:spacing w:after="0"/>
        <w:jc w:val="both"/>
        <w:rPr>
          <w:rFonts w:ascii="Century Gothic" w:hAnsi="Century Gothic" w:cs="Arial"/>
          <w:b/>
          <w:sz w:val="24"/>
          <w:szCs w:val="24"/>
        </w:rPr>
      </w:pPr>
      <w:r w:rsidRPr="00E7025B">
        <w:rPr>
          <w:rFonts w:ascii="Century Gothic" w:hAnsi="Century Gothic" w:cs="Arial"/>
          <w:b/>
          <w:sz w:val="24"/>
          <w:szCs w:val="24"/>
        </w:rPr>
        <w:t xml:space="preserve">Fondo de Aportaciones para la Nómina Educativa y el Gasto Operativo de Baja California. </w:t>
      </w:r>
    </w:p>
    <w:p w:rsidR="002F71E6" w:rsidRPr="003B1CCD" w:rsidRDefault="002F71E6" w:rsidP="002F71E6">
      <w:pPr>
        <w:autoSpaceDE w:val="0"/>
        <w:autoSpaceDN w:val="0"/>
        <w:adjustRightInd w:val="0"/>
        <w:spacing w:after="0"/>
        <w:jc w:val="both"/>
        <w:rPr>
          <w:rFonts w:ascii="Century Gothic" w:hAnsi="Century Gothic" w:cs="Arial"/>
          <w:sz w:val="24"/>
          <w:szCs w:val="24"/>
        </w:rPr>
      </w:pPr>
    </w:p>
    <w:tbl>
      <w:tblPr>
        <w:tblStyle w:val="Sombreadoclaro"/>
        <w:tblW w:w="9275" w:type="dxa"/>
        <w:jc w:val="center"/>
        <w:tblLayout w:type="fixed"/>
        <w:tblLook w:val="04A0" w:firstRow="1" w:lastRow="0" w:firstColumn="1" w:lastColumn="0" w:noHBand="0" w:noVBand="1"/>
      </w:tblPr>
      <w:tblGrid>
        <w:gridCol w:w="1450"/>
        <w:gridCol w:w="2606"/>
        <w:gridCol w:w="1301"/>
        <w:gridCol w:w="1347"/>
        <w:gridCol w:w="1482"/>
        <w:gridCol w:w="1089"/>
      </w:tblGrid>
      <w:tr w:rsidR="002F71E6" w:rsidRPr="00A12907" w:rsidTr="000D3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NIVEL </w:t>
            </w:r>
          </w:p>
        </w:tc>
        <w:tc>
          <w:tcPr>
            <w:tcW w:w="2606" w:type="dxa"/>
            <w:noWrap/>
            <w:vAlign w:val="center"/>
            <w:hideMark/>
          </w:tcPr>
          <w:p w:rsidR="002F71E6" w:rsidRPr="00A12907" w:rsidRDefault="002F71E6" w:rsidP="000D38C7">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NOMBRE DEL INDICADOR</w:t>
            </w:r>
          </w:p>
        </w:tc>
        <w:tc>
          <w:tcPr>
            <w:tcW w:w="1301" w:type="dxa"/>
            <w:vAlign w:val="center"/>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TIPO DEL INDICADOR</w:t>
            </w:r>
          </w:p>
        </w:tc>
        <w:tc>
          <w:tcPr>
            <w:tcW w:w="1347" w:type="dxa"/>
            <w:noWrap/>
            <w:vAlign w:val="center"/>
            <w:hideMark/>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DIMENSIÓN</w:t>
            </w:r>
          </w:p>
        </w:tc>
        <w:tc>
          <w:tcPr>
            <w:tcW w:w="1482" w:type="dxa"/>
            <w:noWrap/>
            <w:vAlign w:val="center"/>
            <w:hideMark/>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META PROGRAMADA</w:t>
            </w:r>
          </w:p>
        </w:tc>
        <w:tc>
          <w:tcPr>
            <w:tcW w:w="1089" w:type="dxa"/>
          </w:tcPr>
          <w:p w:rsidR="002F71E6" w:rsidRPr="00A12907" w:rsidRDefault="002F71E6" w:rsidP="000D38C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AVANCE AL 2DO TRIMESTRE</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noWrap/>
            <w:vAlign w:val="center"/>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Fin</w:t>
            </w:r>
          </w:p>
        </w:tc>
        <w:tc>
          <w:tcPr>
            <w:tcW w:w="2606" w:type="dxa"/>
            <w:shd w:val="clear" w:color="auto" w:fill="auto"/>
            <w:vAlign w:val="center"/>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estudiantes que obtienen el nivel de logro educativo insuficiente en los dominios de español y matemáticas evaluadas por EXCALE en educación básica</w:t>
            </w:r>
          </w:p>
        </w:tc>
        <w:tc>
          <w:tcPr>
            <w:tcW w:w="1301"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auto"/>
            <w:noWrap/>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auto"/>
            <w:noWrap/>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c>
          <w:tcPr>
            <w:tcW w:w="108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D9D9D9" w:themeFill="background1" w:themeFillShade="D9"/>
            <w:noWrap/>
            <w:vAlign w:val="center"/>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2606" w:type="dxa"/>
            <w:shd w:val="clear" w:color="auto" w:fill="D9D9D9" w:themeFill="background1" w:themeFillShade="D9"/>
            <w:vAlign w:val="center"/>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Eficiencia terminal en educación primaria</w:t>
            </w:r>
          </w:p>
        </w:tc>
        <w:tc>
          <w:tcPr>
            <w:tcW w:w="1301"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D9D9D9" w:themeFill="background1" w:themeFillShade="D9"/>
            <w:noWrap/>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D9D9D9" w:themeFill="background1" w:themeFillShade="D9"/>
            <w:noWrap/>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98.1%</w:t>
            </w:r>
          </w:p>
        </w:tc>
        <w:tc>
          <w:tcPr>
            <w:tcW w:w="108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Propósito</w:t>
            </w:r>
          </w:p>
        </w:tc>
        <w:tc>
          <w:tcPr>
            <w:tcW w:w="2606"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Eficiencia terminal en educación secundaria</w:t>
            </w:r>
          </w:p>
        </w:tc>
        <w:tc>
          <w:tcPr>
            <w:tcW w:w="1301"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85.3%</w:t>
            </w:r>
          </w:p>
        </w:tc>
        <w:tc>
          <w:tcPr>
            <w:tcW w:w="108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606"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preescolar en la entidad federativa.</w:t>
            </w:r>
          </w:p>
        </w:tc>
        <w:tc>
          <w:tcPr>
            <w:tcW w:w="1301"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61.6%</w:t>
            </w:r>
          </w:p>
        </w:tc>
        <w:tc>
          <w:tcPr>
            <w:tcW w:w="108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606"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primaria en la entidad federativa.</w:t>
            </w:r>
          </w:p>
        </w:tc>
        <w:tc>
          <w:tcPr>
            <w:tcW w:w="1301"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103.4%</w:t>
            </w:r>
          </w:p>
        </w:tc>
        <w:tc>
          <w:tcPr>
            <w:tcW w:w="1089"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Componente</w:t>
            </w:r>
          </w:p>
        </w:tc>
        <w:tc>
          <w:tcPr>
            <w:tcW w:w="2606"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Tasa neta de escolarización del nivel secundaria en la entidad federativa.</w:t>
            </w:r>
          </w:p>
        </w:tc>
        <w:tc>
          <w:tcPr>
            <w:tcW w:w="1301"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Estratégico</w:t>
            </w:r>
          </w:p>
        </w:tc>
        <w:tc>
          <w:tcPr>
            <w:tcW w:w="134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98.7%</w:t>
            </w:r>
          </w:p>
        </w:tc>
        <w:tc>
          <w:tcPr>
            <w:tcW w:w="1089"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N/A</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606"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preescolar atendidos en centros de trabajo federalizados.</w:t>
            </w:r>
          </w:p>
        </w:tc>
        <w:tc>
          <w:tcPr>
            <w:tcW w:w="1301"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34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57%</w:t>
            </w:r>
          </w:p>
        </w:tc>
        <w:tc>
          <w:tcPr>
            <w:tcW w:w="1089" w:type="dxa"/>
            <w:shd w:val="clear" w:color="auto" w:fill="auto"/>
            <w:vAlign w:val="center"/>
          </w:tcPr>
          <w:p w:rsidR="002F71E6" w:rsidRPr="00CB4749"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CB4749">
              <w:rPr>
                <w:rFonts w:ascii="Century Gothic" w:eastAsia="Times New Roman" w:hAnsi="Century Gothic" w:cs="Times New Roman"/>
                <w:color w:val="000000"/>
                <w:sz w:val="20"/>
                <w:szCs w:val="20"/>
              </w:rPr>
              <w:t>96.67%</w:t>
            </w:r>
          </w:p>
        </w:tc>
      </w:tr>
      <w:tr w:rsidR="002F71E6" w:rsidRPr="00A12907" w:rsidTr="000D38C7">
        <w:trPr>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D9D9D9" w:themeFill="background1" w:themeFillShade="D9"/>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606" w:type="dxa"/>
            <w:shd w:val="clear" w:color="auto" w:fill="D9D9D9" w:themeFill="background1" w:themeFillShade="D9"/>
            <w:vAlign w:val="center"/>
            <w:hideMark/>
          </w:tcPr>
          <w:p w:rsidR="002F71E6" w:rsidRPr="00A12907" w:rsidRDefault="002F71E6" w:rsidP="000D38C7">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Porcentaje de alumnos matriculados en educación primaria atendidos en centros de trabajo federalizados.</w:t>
            </w:r>
          </w:p>
        </w:tc>
        <w:tc>
          <w:tcPr>
            <w:tcW w:w="1301" w:type="dxa"/>
            <w:shd w:val="clear" w:color="auto" w:fill="D9D9D9" w:themeFill="background1" w:themeFillShade="D9"/>
            <w:vAlign w:val="center"/>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t>Gestión</w:t>
            </w:r>
          </w:p>
        </w:tc>
        <w:tc>
          <w:tcPr>
            <w:tcW w:w="1347"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D9D9D9" w:themeFill="background1" w:themeFillShade="D9"/>
            <w:noWrap/>
            <w:vAlign w:val="center"/>
            <w:hideMark/>
          </w:tcPr>
          <w:p w:rsidR="002F71E6" w:rsidRPr="00A12907"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57.2%</w:t>
            </w:r>
          </w:p>
        </w:tc>
        <w:tc>
          <w:tcPr>
            <w:tcW w:w="1089" w:type="dxa"/>
            <w:shd w:val="clear" w:color="auto" w:fill="D9D9D9" w:themeFill="background1" w:themeFillShade="D9"/>
            <w:vAlign w:val="center"/>
          </w:tcPr>
          <w:p w:rsidR="002F71E6" w:rsidRPr="00CB4749" w:rsidRDefault="002F71E6" w:rsidP="000D38C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CB4749">
              <w:rPr>
                <w:rFonts w:ascii="Century Gothic" w:eastAsia="Times New Roman" w:hAnsi="Century Gothic" w:cs="Times New Roman"/>
                <w:color w:val="000000"/>
                <w:sz w:val="20"/>
                <w:szCs w:val="20"/>
              </w:rPr>
              <w:t>99.3%</w:t>
            </w:r>
          </w:p>
        </w:tc>
      </w:tr>
      <w:tr w:rsidR="002F71E6" w:rsidRPr="00A12907" w:rsidTr="000D38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noWrap/>
            <w:vAlign w:val="center"/>
            <w:hideMark/>
          </w:tcPr>
          <w:p w:rsidR="002F71E6" w:rsidRPr="00A12907" w:rsidRDefault="002F71E6" w:rsidP="000D38C7">
            <w:pPr>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Actividad</w:t>
            </w:r>
          </w:p>
        </w:tc>
        <w:tc>
          <w:tcPr>
            <w:tcW w:w="2606" w:type="dxa"/>
            <w:shd w:val="clear" w:color="auto" w:fill="auto"/>
            <w:vAlign w:val="center"/>
            <w:hideMark/>
          </w:tcPr>
          <w:p w:rsidR="002F71E6" w:rsidRPr="00A12907" w:rsidRDefault="002F71E6" w:rsidP="000D38C7">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 xml:space="preserve">Porcentaje de alumnos matriculados en </w:t>
            </w:r>
            <w:r w:rsidRPr="00A12907">
              <w:rPr>
                <w:rFonts w:ascii="Century Gothic" w:eastAsia="Times New Roman" w:hAnsi="Century Gothic" w:cs="Times New Roman"/>
                <w:color w:val="000000"/>
                <w:sz w:val="20"/>
                <w:szCs w:val="20"/>
              </w:rPr>
              <w:lastRenderedPageBreak/>
              <w:t>educación secundaria atendidos en centros de trabajo federalizados.</w:t>
            </w:r>
          </w:p>
        </w:tc>
        <w:tc>
          <w:tcPr>
            <w:tcW w:w="1301" w:type="dxa"/>
            <w:shd w:val="clear" w:color="auto" w:fill="auto"/>
            <w:vAlign w:val="center"/>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A12907">
              <w:rPr>
                <w:rFonts w:ascii="Century Gothic" w:eastAsia="Times New Roman" w:hAnsi="Century Gothic" w:cs="Times New Roman"/>
                <w:color w:val="000000"/>
                <w:sz w:val="20"/>
                <w:szCs w:val="20"/>
              </w:rPr>
              <w:lastRenderedPageBreak/>
              <w:t>Gestión</w:t>
            </w:r>
          </w:p>
        </w:tc>
        <w:tc>
          <w:tcPr>
            <w:tcW w:w="1347"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Eficacia</w:t>
            </w:r>
          </w:p>
        </w:tc>
        <w:tc>
          <w:tcPr>
            <w:tcW w:w="1482" w:type="dxa"/>
            <w:shd w:val="clear" w:color="auto" w:fill="auto"/>
            <w:noWrap/>
            <w:vAlign w:val="center"/>
            <w:hideMark/>
          </w:tcPr>
          <w:p w:rsidR="002F71E6" w:rsidRPr="00A12907"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A12907">
              <w:rPr>
                <w:rFonts w:ascii="Century Gothic" w:eastAsia="Times New Roman" w:hAnsi="Century Gothic" w:cs="Times New Roman"/>
                <w:color w:val="000000"/>
                <w:sz w:val="20"/>
                <w:szCs w:val="20"/>
              </w:rPr>
              <w:t>45.6%</w:t>
            </w:r>
          </w:p>
        </w:tc>
        <w:tc>
          <w:tcPr>
            <w:tcW w:w="1089" w:type="dxa"/>
            <w:shd w:val="clear" w:color="auto" w:fill="auto"/>
            <w:vAlign w:val="center"/>
          </w:tcPr>
          <w:p w:rsidR="002F71E6" w:rsidRPr="00CB4749" w:rsidRDefault="002F71E6" w:rsidP="000D38C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CB4749">
              <w:rPr>
                <w:rFonts w:ascii="Century Gothic" w:eastAsia="Times New Roman" w:hAnsi="Century Gothic" w:cs="Times New Roman"/>
                <w:color w:val="000000"/>
                <w:sz w:val="20"/>
                <w:szCs w:val="20"/>
              </w:rPr>
              <w:t>99.56%</w:t>
            </w:r>
          </w:p>
        </w:tc>
      </w:tr>
    </w:tbl>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Se observa que existen 9 indicadores, de los cuales en 6 no se presentaron avances, en el entendido de que los avances de estos indicadores dependen del ciclo escolar, por lo que para el tercer trimestre gran parte de ellos serán registrados sus avances.</w:t>
      </w:r>
    </w:p>
    <w:p w:rsidR="002F71E6" w:rsidRPr="003B1CCD" w:rsidRDefault="002F71E6" w:rsidP="002F71E6">
      <w:pPr>
        <w:autoSpaceDE w:val="0"/>
        <w:autoSpaceDN w:val="0"/>
        <w:adjustRightInd w:val="0"/>
        <w:spacing w:after="0"/>
        <w:jc w:val="both"/>
        <w:rPr>
          <w:rFonts w:ascii="Century Gothic" w:hAnsi="Century Gothic" w:cs="Arial"/>
          <w:sz w:val="24"/>
          <w:szCs w:val="24"/>
        </w:rPr>
      </w:pPr>
    </w:p>
    <w:p w:rsidR="002F71E6" w:rsidRPr="003B1CCD" w:rsidRDefault="002F71E6" w:rsidP="002F71E6">
      <w:pPr>
        <w:autoSpaceDE w:val="0"/>
        <w:autoSpaceDN w:val="0"/>
        <w:adjustRightInd w:val="0"/>
        <w:spacing w:after="0"/>
        <w:jc w:val="both"/>
        <w:rPr>
          <w:rFonts w:ascii="Century Gothic" w:hAnsi="Century Gothic" w:cs="Arial"/>
          <w:sz w:val="24"/>
          <w:szCs w:val="24"/>
        </w:rPr>
      </w:pPr>
      <w:r w:rsidRPr="003B1CCD">
        <w:rPr>
          <w:rFonts w:ascii="Century Gothic" w:hAnsi="Century Gothic" w:cs="Arial"/>
          <w:sz w:val="24"/>
          <w:szCs w:val="24"/>
        </w:rPr>
        <w:t>En</w:t>
      </w:r>
      <w:r>
        <w:rPr>
          <w:rFonts w:ascii="Century Gothic" w:hAnsi="Century Gothic" w:cs="Arial"/>
          <w:sz w:val="24"/>
          <w:szCs w:val="24"/>
        </w:rPr>
        <w:t xml:space="preserve"> el caso de</w:t>
      </w:r>
      <w:r w:rsidRPr="003B1CCD">
        <w:rPr>
          <w:rFonts w:ascii="Century Gothic" w:hAnsi="Century Gothic" w:cs="Arial"/>
          <w:sz w:val="24"/>
          <w:szCs w:val="24"/>
        </w:rPr>
        <w:t xml:space="preserve"> los</w:t>
      </w:r>
      <w:r>
        <w:rPr>
          <w:rFonts w:ascii="Century Gothic" w:hAnsi="Century Gothic" w:cs="Arial"/>
          <w:sz w:val="24"/>
          <w:szCs w:val="24"/>
        </w:rPr>
        <w:t xml:space="preserve"> tres indicadores a</w:t>
      </w:r>
      <w:r w:rsidRPr="003B1CCD">
        <w:rPr>
          <w:rFonts w:ascii="Century Gothic" w:hAnsi="Century Gothic" w:cs="Arial"/>
          <w:sz w:val="24"/>
          <w:szCs w:val="24"/>
        </w:rPr>
        <w:t xml:space="preserve"> </w:t>
      </w:r>
      <w:r>
        <w:rPr>
          <w:rFonts w:ascii="Century Gothic" w:hAnsi="Century Gothic" w:cs="Arial"/>
          <w:sz w:val="24"/>
          <w:szCs w:val="24"/>
        </w:rPr>
        <w:t>n</w:t>
      </w:r>
      <w:r w:rsidRPr="003B1CCD">
        <w:rPr>
          <w:rFonts w:ascii="Century Gothic" w:hAnsi="Century Gothic" w:cs="Arial"/>
          <w:sz w:val="24"/>
          <w:szCs w:val="24"/>
        </w:rPr>
        <w:t>ivel de Actividades</w:t>
      </w:r>
      <w:r>
        <w:rPr>
          <w:rFonts w:ascii="Century Gothic" w:hAnsi="Century Gothic" w:cs="Arial"/>
          <w:sz w:val="24"/>
          <w:szCs w:val="24"/>
        </w:rPr>
        <w:t xml:space="preserve">, que miden el porcentaje de alumnos atendidos en centros de trabajo federalizado destinados a educación preescolar, primaria y secundaria, destaca que tienen </w:t>
      </w:r>
      <w:r w:rsidRPr="003B1CCD">
        <w:rPr>
          <w:rFonts w:ascii="Century Gothic" w:hAnsi="Century Gothic" w:cs="Arial"/>
          <w:sz w:val="24"/>
          <w:szCs w:val="24"/>
        </w:rPr>
        <w:t>cumplimiento sobresaliente con un porcentaje por arriba del 95%.</w:t>
      </w:r>
    </w:p>
    <w:p w:rsidR="002F71E6" w:rsidRDefault="002F71E6" w:rsidP="002F71E6">
      <w:pPr>
        <w:tabs>
          <w:tab w:val="left" w:pos="1741"/>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ab/>
      </w:r>
    </w:p>
    <w:p w:rsidR="002F71E6" w:rsidRPr="003B1CCD" w:rsidRDefault="002F71E6" w:rsidP="002F71E6">
      <w:pPr>
        <w:tabs>
          <w:tab w:val="left" w:pos="1741"/>
        </w:tabs>
        <w:autoSpaceDE w:val="0"/>
        <w:autoSpaceDN w:val="0"/>
        <w:adjustRightInd w:val="0"/>
        <w:spacing w:after="0"/>
        <w:jc w:val="both"/>
        <w:rPr>
          <w:rFonts w:ascii="Century Gothic" w:hAnsi="Century Gothic" w:cs="Arial"/>
          <w:sz w:val="24"/>
          <w:szCs w:val="24"/>
        </w:rPr>
      </w:pPr>
    </w:p>
    <w:p w:rsidR="002F71E6" w:rsidRDefault="002F71E6" w:rsidP="002F71E6">
      <w:pPr>
        <w:autoSpaceDE w:val="0"/>
        <w:autoSpaceDN w:val="0"/>
        <w:adjustRightInd w:val="0"/>
        <w:spacing w:after="0"/>
        <w:jc w:val="both"/>
        <w:rPr>
          <w:rFonts w:ascii="Century Gothic" w:hAnsi="Century Gothic" w:cs="Arial"/>
          <w:b/>
          <w:sz w:val="24"/>
          <w:szCs w:val="24"/>
        </w:rPr>
      </w:pPr>
      <w:r w:rsidRPr="003B1CCD">
        <w:rPr>
          <w:rFonts w:ascii="Century Gothic" w:hAnsi="Century Gothic" w:cs="Arial"/>
          <w:b/>
          <w:sz w:val="24"/>
          <w:szCs w:val="24"/>
        </w:rPr>
        <w:t xml:space="preserve">Matriz de Indicadores de los Programas Presupuestarios Estatales: </w:t>
      </w:r>
    </w:p>
    <w:p w:rsidR="002F71E6" w:rsidRDefault="002F71E6" w:rsidP="002F71E6">
      <w:pPr>
        <w:autoSpaceDE w:val="0"/>
        <w:autoSpaceDN w:val="0"/>
        <w:adjustRightInd w:val="0"/>
        <w:spacing w:after="0"/>
        <w:jc w:val="both"/>
        <w:rPr>
          <w:rFonts w:ascii="Century Gothic" w:hAnsi="Century Gothic" w:cs="Arial"/>
          <w:b/>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b/>
          <w:sz w:val="24"/>
          <w:szCs w:val="24"/>
        </w:rPr>
        <w:t xml:space="preserve"> </w:t>
      </w:r>
      <w:r>
        <w:rPr>
          <w:rFonts w:ascii="Century Gothic" w:hAnsi="Century Gothic" w:cs="Arial"/>
          <w:sz w:val="24"/>
          <w:szCs w:val="24"/>
        </w:rPr>
        <w:t>En este apartado, se analizará el cumplimiento de los indicadores de los Programas Presupuestarios estatales así como su congruencia con la Matriz de Indicadores de Resultados del Fondo. Teniendo como fuente de información el Avance Programático, informado al cierre del Segundo Trimestre de la ISEP.</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tbl>
      <w:tblPr>
        <w:tblStyle w:val="Tablaconcuadrcula"/>
        <w:tblW w:w="9157" w:type="dxa"/>
        <w:tblLook w:val="04A0" w:firstRow="1" w:lastRow="0" w:firstColumn="1" w:lastColumn="0" w:noHBand="0" w:noVBand="1"/>
      </w:tblPr>
      <w:tblGrid>
        <w:gridCol w:w="6256"/>
        <w:gridCol w:w="1417"/>
        <w:gridCol w:w="1484"/>
      </w:tblGrid>
      <w:tr w:rsidR="002F71E6" w:rsidRPr="00764A16" w:rsidTr="000D38C7">
        <w:trPr>
          <w:trHeight w:val="599"/>
        </w:trPr>
        <w:tc>
          <w:tcPr>
            <w:tcW w:w="9157" w:type="dxa"/>
            <w:gridSpan w:val="3"/>
            <w:vAlign w:val="center"/>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Programa: 059 Calidad y Equidad en Educación Básica</w:t>
            </w:r>
          </w:p>
        </w:tc>
      </w:tr>
      <w:tr w:rsidR="002F71E6" w:rsidRPr="00764A16" w:rsidTr="000D38C7">
        <w:trPr>
          <w:trHeight w:val="299"/>
        </w:trPr>
        <w:tc>
          <w:tcPr>
            <w:tcW w:w="9157" w:type="dxa"/>
            <w:gridSpan w:val="3"/>
          </w:tcPr>
          <w:p w:rsidR="002F71E6" w:rsidRPr="00764A16" w:rsidRDefault="002F71E6" w:rsidP="000D38C7">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283"/>
        </w:trPr>
        <w:tc>
          <w:tcPr>
            <w:tcW w:w="9157" w:type="dxa"/>
            <w:gridSpan w:val="3"/>
          </w:tcPr>
          <w:p w:rsidR="002F71E6" w:rsidRPr="00764A16" w:rsidRDefault="002F71E6" w:rsidP="000D38C7">
            <w:pPr>
              <w:tabs>
                <w:tab w:val="left" w:pos="2830"/>
              </w:tabs>
              <w:autoSpaceDE w:val="0"/>
              <w:autoSpaceDN w:val="0"/>
              <w:adjustRightInd w:val="0"/>
              <w:spacing w:line="276" w:lineRule="auto"/>
              <w:jc w:val="both"/>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Alumnos de educación básica reciben servicios educativos  pertinentes y de calidad orientados a la formación para la vida con una estrecha vinculación escuela-familia-sociedad.</w:t>
            </w:r>
          </w:p>
        </w:tc>
      </w:tr>
      <w:tr w:rsidR="002F71E6" w:rsidTr="000D38C7">
        <w:trPr>
          <w:trHeight w:val="283"/>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Indicador</w:t>
            </w:r>
          </w:p>
        </w:tc>
        <w:tc>
          <w:tcPr>
            <w:tcW w:w="1417"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Meta</w:t>
            </w:r>
          </w:p>
        </w:tc>
        <w:tc>
          <w:tcPr>
            <w:tcW w:w="1484"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Resultado</w:t>
            </w:r>
          </w:p>
        </w:tc>
      </w:tr>
      <w:tr w:rsidR="002F71E6" w:rsidTr="000D38C7">
        <w:trPr>
          <w:trHeight w:val="283"/>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 xml:space="preserve">Índice de Atención a la Demanda de 3 a 5 Años </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68</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283"/>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Índice de Atención a la Demanda de 6 a 11Años</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299"/>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Índice de Atención a la Demanda de 12 a 14 Años</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95</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Índice de Eficiencia Terminal en Primaria</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94</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Porcentaje de Avance en la atención de Niños Atendidos con el Servicio de Educación Indígena</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 xml:space="preserve">Porcentaje de Avance de Planteles de Educación </w:t>
            </w:r>
            <w:r>
              <w:rPr>
                <w:rFonts w:ascii="Century Gothic" w:hAnsi="Century Gothic" w:cs="Arial"/>
                <w:sz w:val="24"/>
                <w:szCs w:val="24"/>
              </w:rPr>
              <w:lastRenderedPageBreak/>
              <w:t>Básica Incorporadas al Programa de Tiempo Completo</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lastRenderedPageBreak/>
              <w:t>62.56</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lastRenderedPageBreak/>
              <w:t xml:space="preserve">Índice de Eficiencia Terminal en Secundaria </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82</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 xml:space="preserve">Porcentaje de Avance en la Atención de Niños Migrantes en Educación Básica </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599"/>
        </w:trPr>
        <w:tc>
          <w:tcPr>
            <w:tcW w:w="9157" w:type="dxa"/>
            <w:gridSpan w:val="3"/>
            <w:vAlign w:val="center"/>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Programa: 062 Apoyos y Estímulos Educativos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Alumnos en riesgo de abandono escolar cuentan con igualdad de oportunidades educativas para el acceso, permanencia y egreso en la educación.</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Índice de Retención de los Alumnos que Reciben Apoyos en Educación Básica.</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98.2</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599"/>
        </w:trPr>
        <w:tc>
          <w:tcPr>
            <w:tcW w:w="9157" w:type="dxa"/>
            <w:gridSpan w:val="3"/>
            <w:vAlign w:val="center"/>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 xml:space="preserve">Programa: 063 Servicio Profesional Docente </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Procesos de ingreso, promoción y reconocimiento y permanencia en el servicio educativo que garantizan la idoneidad de conocimientos y capacidades del personal docente, directivo, asesores técnicos pedagógicos y de supervisión en la educación básica.</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Egresados de Escuelas Normales Públicas que logran niveles idóneos en los exámenes de ingreso al Servicio</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43</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Porcentaje de Plazas de Docentes del Concurso de Ingreso al Servicio Profesional Docente que fueron asignadas</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599"/>
        </w:trPr>
        <w:tc>
          <w:tcPr>
            <w:tcW w:w="9157" w:type="dxa"/>
            <w:gridSpan w:val="3"/>
            <w:vAlign w:val="center"/>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Programa: 099 Infraestructura en el Sector Educativo</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Fin:</w:t>
            </w:r>
            <w:r w:rsidRPr="00A12907">
              <w:rPr>
                <w:rFonts w:ascii="Century Gothic" w:hAnsi="Century Gothic" w:cs="Arial"/>
              </w:rPr>
              <w:t xml:space="preserve"> 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Planteles e instalaciones del sector educativo ubicados en zonas prioritarias, mejoran su infraestructura, equipamiento así como el mantenimiento preventivo.</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 xml:space="preserve">Porcentaje de Escuelas Atendidas con Acciones </w:t>
            </w:r>
            <w:r>
              <w:rPr>
                <w:rFonts w:ascii="Century Gothic" w:hAnsi="Century Gothic" w:cs="Arial"/>
                <w:sz w:val="24"/>
                <w:szCs w:val="24"/>
              </w:rPr>
              <w:lastRenderedPageBreak/>
              <w:t>de Mantenimiento preventivo y correctivo en Educación Básica.</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lastRenderedPageBreak/>
              <w:t>11</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p>
          <w:p w:rsidR="002F71E6" w:rsidRPr="004D1E3B" w:rsidRDefault="002F71E6" w:rsidP="000D38C7">
            <w:pPr>
              <w:spacing w:line="276" w:lineRule="auto"/>
              <w:jc w:val="center"/>
              <w:rPr>
                <w:rFonts w:ascii="Century Gothic" w:hAnsi="Century Gothic" w:cs="Arial"/>
                <w:sz w:val="24"/>
                <w:szCs w:val="24"/>
              </w:rPr>
            </w:pPr>
            <w:r>
              <w:rPr>
                <w:rFonts w:ascii="Century Gothic" w:hAnsi="Century Gothic" w:cs="Arial"/>
                <w:sz w:val="24"/>
                <w:szCs w:val="24"/>
              </w:rPr>
              <w:lastRenderedPageBreak/>
              <w:t>N/P</w:t>
            </w:r>
          </w:p>
        </w:tc>
      </w:tr>
      <w:tr w:rsidR="002F71E6" w:rsidTr="000D38C7">
        <w:trPr>
          <w:trHeight w:val="599"/>
        </w:trPr>
        <w:tc>
          <w:tcPr>
            <w:tcW w:w="9157" w:type="dxa"/>
            <w:gridSpan w:val="3"/>
            <w:vAlign w:val="center"/>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lastRenderedPageBreak/>
              <w:t>Programa: 163 Participación Social y Formación Ciudadana</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Fin:</w:t>
            </w:r>
            <w:r>
              <w:rPr>
                <w:rFonts w:ascii="Century Gothic" w:hAnsi="Century Gothic" w:cs="Arial"/>
                <w:b/>
                <w:sz w:val="24"/>
                <w:szCs w:val="24"/>
              </w:rPr>
              <w:t xml:space="preserve"> </w:t>
            </w:r>
            <w:r w:rsidRPr="00A12907">
              <w:rPr>
                <w:rFonts w:ascii="Century Gothic" w:hAnsi="Century Gothic" w:cs="Arial"/>
              </w:rPr>
              <w:t>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Comunidades educativas fortalecen la participación social, la gestión y la formación ciudadana.</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Porcentaje de Padres de Familia Capacitados en Formación Ciudadana, Derechos Humanos y Temas afines.</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Pr="004D1E3B" w:rsidRDefault="002F71E6" w:rsidP="000D38C7">
            <w:pPr>
              <w:tabs>
                <w:tab w:val="left" w:pos="2830"/>
              </w:tabs>
              <w:autoSpaceDE w:val="0"/>
              <w:autoSpaceDN w:val="0"/>
              <w:adjustRightInd w:val="0"/>
              <w:spacing w:line="276" w:lineRule="auto"/>
              <w:jc w:val="center"/>
              <w:rPr>
                <w:rFonts w:ascii="Century Gothic" w:hAnsi="Century Gothic" w:cs="Arial"/>
                <w:b/>
                <w:sz w:val="24"/>
                <w:szCs w:val="24"/>
              </w:rPr>
            </w:pPr>
            <w:r>
              <w:rPr>
                <w:rFonts w:ascii="Century Gothic" w:hAnsi="Century Gothic" w:cs="Arial"/>
                <w:sz w:val="24"/>
                <w:szCs w:val="24"/>
              </w:rPr>
              <w:t>N/P</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Pr>
                <w:rFonts w:ascii="Century Gothic" w:hAnsi="Century Gothic" w:cs="Arial"/>
                <w:sz w:val="24"/>
                <w:szCs w:val="24"/>
              </w:rPr>
              <w:t xml:space="preserve">Porcentaje de Consejos Escolares de Participación Social de Educación Básica Operando acorde al Registro Público de Consejos Escolares. </w:t>
            </w:r>
          </w:p>
        </w:tc>
        <w:tc>
          <w:tcPr>
            <w:tcW w:w="1417"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90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r w:rsidR="002F71E6" w:rsidTr="000D38C7">
        <w:trPr>
          <w:trHeight w:val="893"/>
        </w:trPr>
        <w:tc>
          <w:tcPr>
            <w:tcW w:w="9157" w:type="dxa"/>
            <w:gridSpan w:val="3"/>
            <w:vAlign w:val="center"/>
          </w:tcPr>
          <w:p w:rsidR="002F71E6" w:rsidRDefault="002F71E6" w:rsidP="000D38C7">
            <w:pPr>
              <w:tabs>
                <w:tab w:val="left" w:pos="2830"/>
              </w:tabs>
              <w:autoSpaceDE w:val="0"/>
              <w:autoSpaceDN w:val="0"/>
              <w:adjustRightInd w:val="0"/>
              <w:spacing w:line="276" w:lineRule="auto"/>
              <w:rPr>
                <w:rFonts w:ascii="Century Gothic" w:hAnsi="Century Gothic" w:cs="Arial"/>
                <w:sz w:val="24"/>
                <w:szCs w:val="24"/>
              </w:rPr>
            </w:pPr>
            <w:r w:rsidRPr="00764A16">
              <w:rPr>
                <w:rFonts w:ascii="Century Gothic" w:hAnsi="Century Gothic" w:cs="Arial"/>
                <w:b/>
                <w:sz w:val="24"/>
                <w:szCs w:val="24"/>
              </w:rPr>
              <w:t>Programa: 167 Programa de Insumos y Mantenimiento para el Entorno Educativo</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Fin:</w:t>
            </w:r>
            <w:r w:rsidRPr="00A12907">
              <w:rPr>
                <w:rFonts w:ascii="Century Gothic" w:hAnsi="Century Gothic" w:cs="Arial"/>
              </w:rPr>
              <w:t xml:space="preserve"> Contribuir a una formación integral de los habitantes del estado en los diferentes niveles educativos mediante políticas educativas de calidad y orientada a reforzar los valores, un sistema de arte y cultura para todos.</w:t>
            </w:r>
          </w:p>
        </w:tc>
      </w:tr>
      <w:tr w:rsidR="002F71E6" w:rsidRPr="00764A16" w:rsidTr="000D38C7">
        <w:trPr>
          <w:trHeight w:val="76"/>
        </w:trPr>
        <w:tc>
          <w:tcPr>
            <w:tcW w:w="9157" w:type="dxa"/>
            <w:gridSpan w:val="3"/>
          </w:tcPr>
          <w:p w:rsidR="002F71E6" w:rsidRPr="00764A16" w:rsidRDefault="002F71E6" w:rsidP="000D38C7">
            <w:pPr>
              <w:tabs>
                <w:tab w:val="left" w:pos="2830"/>
              </w:tabs>
              <w:autoSpaceDE w:val="0"/>
              <w:autoSpaceDN w:val="0"/>
              <w:adjustRightInd w:val="0"/>
              <w:spacing w:line="276" w:lineRule="auto"/>
              <w:rPr>
                <w:rFonts w:ascii="Century Gothic" w:hAnsi="Century Gothic" w:cs="Arial"/>
                <w:b/>
                <w:sz w:val="24"/>
                <w:szCs w:val="24"/>
              </w:rPr>
            </w:pPr>
            <w:r w:rsidRPr="00764A16">
              <w:rPr>
                <w:rFonts w:ascii="Century Gothic" w:hAnsi="Century Gothic" w:cs="Arial"/>
                <w:b/>
                <w:sz w:val="24"/>
                <w:szCs w:val="24"/>
              </w:rPr>
              <w:t>Propósito:</w:t>
            </w:r>
            <w:r>
              <w:rPr>
                <w:rFonts w:ascii="Century Gothic" w:hAnsi="Century Gothic" w:cs="Arial"/>
                <w:b/>
                <w:sz w:val="24"/>
                <w:szCs w:val="24"/>
              </w:rPr>
              <w:t xml:space="preserve"> </w:t>
            </w:r>
            <w:r w:rsidRPr="00A12907">
              <w:rPr>
                <w:rFonts w:ascii="Century Gothic" w:hAnsi="Century Gothic" w:cs="Arial"/>
              </w:rPr>
              <w:t>Los planteles educativos públicos del nivel básico en el estado cuentan con los recursos suficientes para apoyar su operación y los procesos de gestión es</w:t>
            </w:r>
            <w:r>
              <w:rPr>
                <w:rFonts w:ascii="Century Gothic" w:hAnsi="Century Gothic" w:cs="Arial"/>
              </w:rPr>
              <w:t>colar.</w:t>
            </w:r>
          </w:p>
        </w:tc>
      </w:tr>
      <w:tr w:rsidR="002F71E6" w:rsidTr="000D38C7">
        <w:trPr>
          <w:trHeight w:val="76"/>
        </w:trPr>
        <w:tc>
          <w:tcPr>
            <w:tcW w:w="6256" w:type="dxa"/>
          </w:tcPr>
          <w:p w:rsidR="002F71E6" w:rsidRDefault="002F71E6" w:rsidP="000D38C7">
            <w:pPr>
              <w:tabs>
                <w:tab w:val="left" w:pos="2830"/>
              </w:tabs>
              <w:autoSpaceDE w:val="0"/>
              <w:autoSpaceDN w:val="0"/>
              <w:adjustRightInd w:val="0"/>
              <w:spacing w:line="276" w:lineRule="auto"/>
              <w:jc w:val="both"/>
              <w:rPr>
                <w:rFonts w:ascii="Century Gothic" w:hAnsi="Century Gothic" w:cs="Arial"/>
                <w:sz w:val="24"/>
                <w:szCs w:val="24"/>
              </w:rPr>
            </w:pPr>
            <w:r>
              <w:rPr>
                <w:rFonts w:ascii="Century Gothic" w:hAnsi="Century Gothic" w:cs="Arial"/>
                <w:sz w:val="24"/>
                <w:szCs w:val="24"/>
              </w:rPr>
              <w:t xml:space="preserve">Cobertura de Centros de Educación Básica Adheridos al Programa de Insumos y Mantenimiento para el Mejoramiento del Entorno Educativo (PIMMEE) </w:t>
            </w:r>
          </w:p>
        </w:tc>
        <w:tc>
          <w:tcPr>
            <w:tcW w:w="1417" w:type="dxa"/>
          </w:tcPr>
          <w:p w:rsidR="002F71E6" w:rsidRPr="003C55B1"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100</w:t>
            </w:r>
          </w:p>
        </w:tc>
        <w:tc>
          <w:tcPr>
            <w:tcW w:w="1484" w:type="dxa"/>
          </w:tcPr>
          <w:p w:rsidR="002F71E6" w:rsidRDefault="002F71E6" w:rsidP="000D38C7">
            <w:pPr>
              <w:tabs>
                <w:tab w:val="left" w:pos="2830"/>
              </w:tabs>
              <w:autoSpaceDE w:val="0"/>
              <w:autoSpaceDN w:val="0"/>
              <w:adjustRightInd w:val="0"/>
              <w:spacing w:line="276" w:lineRule="auto"/>
              <w:jc w:val="center"/>
              <w:rPr>
                <w:rFonts w:ascii="Century Gothic" w:hAnsi="Century Gothic" w:cs="Arial"/>
                <w:sz w:val="24"/>
                <w:szCs w:val="24"/>
              </w:rPr>
            </w:pPr>
            <w:r>
              <w:rPr>
                <w:rFonts w:ascii="Century Gothic" w:hAnsi="Century Gothic" w:cs="Arial"/>
                <w:sz w:val="24"/>
                <w:szCs w:val="24"/>
              </w:rPr>
              <w:t>N/P</w:t>
            </w:r>
          </w:p>
        </w:tc>
      </w:tr>
    </w:tbl>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Los indicadores de los Programas Presupuestarios Estatales son congruentes con la Matriz de Indicadores del Fondo.</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Los Indicadores de los Programas Presupuestarios Estatales tienen una calendarización anual, es por eso que todos aparecen con un resultado no programado los cuales serán plasmados en el tercer y cuarto trimestre. </w:t>
      </w:r>
    </w:p>
    <w:p w:rsidR="002F71E6" w:rsidRPr="004D1E3B" w:rsidRDefault="002F71E6" w:rsidP="002F71E6">
      <w:pPr>
        <w:tabs>
          <w:tab w:val="left" w:pos="2830"/>
        </w:tabs>
        <w:autoSpaceDE w:val="0"/>
        <w:autoSpaceDN w:val="0"/>
        <w:adjustRightInd w:val="0"/>
        <w:spacing w:after="0"/>
        <w:rPr>
          <w:rFonts w:ascii="Century Gothic" w:hAnsi="Century Gothic" w:cs="Arial"/>
          <w:b/>
          <w:sz w:val="24"/>
          <w:szCs w:val="24"/>
        </w:rPr>
      </w:pPr>
    </w:p>
    <w:p w:rsidR="0093724E" w:rsidRDefault="0093724E" w:rsidP="002F71E6">
      <w:pPr>
        <w:tabs>
          <w:tab w:val="left" w:pos="2830"/>
        </w:tabs>
        <w:autoSpaceDE w:val="0"/>
        <w:autoSpaceDN w:val="0"/>
        <w:adjustRightInd w:val="0"/>
        <w:spacing w:after="0"/>
        <w:rPr>
          <w:rFonts w:ascii="Century Gothic" w:hAnsi="Century Gothic" w:cs="Arial"/>
          <w:b/>
          <w:sz w:val="24"/>
          <w:szCs w:val="24"/>
        </w:rPr>
      </w:pPr>
    </w:p>
    <w:p w:rsidR="0093724E" w:rsidRDefault="0093724E" w:rsidP="002F71E6">
      <w:pPr>
        <w:tabs>
          <w:tab w:val="left" w:pos="2830"/>
        </w:tabs>
        <w:autoSpaceDE w:val="0"/>
        <w:autoSpaceDN w:val="0"/>
        <w:adjustRightInd w:val="0"/>
        <w:spacing w:after="0"/>
        <w:rPr>
          <w:rFonts w:ascii="Century Gothic" w:hAnsi="Century Gothic" w:cs="Arial"/>
          <w:b/>
          <w:sz w:val="24"/>
          <w:szCs w:val="24"/>
        </w:rPr>
      </w:pPr>
    </w:p>
    <w:p w:rsidR="0093724E" w:rsidRDefault="0093724E" w:rsidP="002F71E6">
      <w:pPr>
        <w:tabs>
          <w:tab w:val="left" w:pos="2830"/>
        </w:tabs>
        <w:autoSpaceDE w:val="0"/>
        <w:autoSpaceDN w:val="0"/>
        <w:adjustRightInd w:val="0"/>
        <w:spacing w:after="0"/>
        <w:rPr>
          <w:rFonts w:ascii="Century Gothic" w:hAnsi="Century Gothic" w:cs="Arial"/>
          <w:b/>
          <w:sz w:val="24"/>
          <w:szCs w:val="24"/>
        </w:rPr>
      </w:pPr>
    </w:p>
    <w:p w:rsidR="002F71E6" w:rsidRDefault="002F71E6" w:rsidP="002F71E6">
      <w:pPr>
        <w:tabs>
          <w:tab w:val="left" w:pos="2830"/>
        </w:tabs>
        <w:autoSpaceDE w:val="0"/>
        <w:autoSpaceDN w:val="0"/>
        <w:adjustRightInd w:val="0"/>
        <w:spacing w:after="0"/>
        <w:rPr>
          <w:rFonts w:ascii="Century Gothic" w:hAnsi="Century Gothic" w:cs="Arial"/>
          <w:b/>
          <w:sz w:val="24"/>
          <w:szCs w:val="24"/>
        </w:rPr>
      </w:pPr>
      <w:r w:rsidRPr="004D1E3B">
        <w:rPr>
          <w:rFonts w:ascii="Century Gothic" w:hAnsi="Century Gothic" w:cs="Arial"/>
          <w:b/>
          <w:sz w:val="24"/>
          <w:szCs w:val="24"/>
        </w:rPr>
        <w:lastRenderedPageBreak/>
        <w:t xml:space="preserve">3.3 Análisis del Presupuesto. </w:t>
      </w:r>
    </w:p>
    <w:p w:rsidR="002F71E6" w:rsidRDefault="002F71E6" w:rsidP="002F71E6">
      <w:pPr>
        <w:tabs>
          <w:tab w:val="left" w:pos="2830"/>
        </w:tabs>
        <w:autoSpaceDE w:val="0"/>
        <w:autoSpaceDN w:val="0"/>
        <w:adjustRightInd w:val="0"/>
        <w:spacing w:after="0"/>
        <w:rPr>
          <w:rFonts w:ascii="Century Gothic" w:hAnsi="Century Gothic" w:cs="Arial"/>
          <w:b/>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De conformidad a lo publicado en el “Acuerdo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CB57E7"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Con</w:t>
      </w:r>
      <w:r w:rsidR="002F71E6">
        <w:rPr>
          <w:rFonts w:ascii="Century Gothic" w:hAnsi="Century Gothic" w:cs="Arial"/>
          <w:sz w:val="24"/>
          <w:szCs w:val="24"/>
        </w:rPr>
        <w:t xml:space="preserve"> base a lo establecido en este acuerdo, se autorizaron recursos del FONE para Baja California por un monto de $10’726</w:t>
      </w:r>
      <w:proofErr w:type="gramStart"/>
      <w:r w:rsidR="002F71E6">
        <w:rPr>
          <w:rFonts w:ascii="Century Gothic" w:hAnsi="Century Gothic" w:cs="Arial"/>
          <w:sz w:val="24"/>
          <w:szCs w:val="24"/>
        </w:rPr>
        <w:t>,442,085.11</w:t>
      </w:r>
      <w:proofErr w:type="gramEnd"/>
      <w:r w:rsidR="002F71E6">
        <w:rPr>
          <w:rFonts w:ascii="Century Gothic" w:hAnsi="Century Gothic" w:cs="Arial"/>
          <w:sz w:val="24"/>
          <w:szCs w:val="24"/>
        </w:rPr>
        <w:t xml:space="preserve">  pesos para el ejercicio 2017 de los cuales, 88.4% corresponde a Servicios Personales, el 9.8%  se destina a Gastos de Operación y el 1.8 restante se destina al Fondo de Compensación. </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 xml:space="preserve">A Baja California se le asignó el 1.24% del total autorizado nacional. </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r>
        <w:rPr>
          <w:rFonts w:ascii="Century Gothic" w:hAnsi="Century Gothic" w:cs="Arial"/>
          <w:sz w:val="24"/>
          <w:szCs w:val="24"/>
        </w:rPr>
        <w:t>A continuación se presenta un comparativo de las asignaciones iniciales autorizadas para Baja California en los años 2016 y 2017:</w:t>
      </w:r>
    </w:p>
    <w:p w:rsidR="002F71E6" w:rsidRDefault="002F71E6" w:rsidP="002F71E6">
      <w:pPr>
        <w:tabs>
          <w:tab w:val="left" w:pos="2830"/>
        </w:tabs>
        <w:autoSpaceDE w:val="0"/>
        <w:autoSpaceDN w:val="0"/>
        <w:adjustRightInd w:val="0"/>
        <w:spacing w:after="0"/>
        <w:jc w:val="both"/>
        <w:rPr>
          <w:rFonts w:ascii="Century Gothic" w:hAnsi="Century Gothic" w:cs="Arial"/>
          <w:sz w:val="24"/>
          <w:szCs w:val="24"/>
        </w:rPr>
      </w:pPr>
    </w:p>
    <w:p w:rsidR="002F71E6" w:rsidRDefault="002F71E6" w:rsidP="002F71E6">
      <w:pPr>
        <w:tabs>
          <w:tab w:val="left" w:pos="2830"/>
        </w:tabs>
        <w:autoSpaceDE w:val="0"/>
        <w:autoSpaceDN w:val="0"/>
        <w:adjustRightInd w:val="0"/>
        <w:spacing w:after="0"/>
        <w:jc w:val="center"/>
        <w:rPr>
          <w:rFonts w:ascii="Century Gothic" w:hAnsi="Century Gothic" w:cs="Arial"/>
          <w:sz w:val="24"/>
          <w:szCs w:val="24"/>
        </w:rPr>
      </w:pPr>
      <w:r>
        <w:rPr>
          <w:rFonts w:ascii="Century Gothic" w:hAnsi="Century Gothic" w:cs="Arial"/>
          <w:noProof/>
          <w:sz w:val="24"/>
          <w:szCs w:val="24"/>
          <w:lang w:val="es-ES" w:eastAsia="es-ES"/>
        </w:rPr>
        <w:lastRenderedPageBreak/>
        <w:drawing>
          <wp:inline distT="0" distB="0" distL="0" distR="0">
            <wp:extent cx="5486400" cy="4072270"/>
            <wp:effectExtent l="0" t="0" r="19050" b="234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71E6" w:rsidRDefault="002F71E6" w:rsidP="002F71E6">
      <w:pPr>
        <w:rPr>
          <w:rFonts w:ascii="Century Gothic" w:hAnsi="Century Gothic" w:cs="Arial"/>
          <w:sz w:val="24"/>
          <w:szCs w:val="24"/>
        </w:rPr>
      </w:pPr>
      <w:r>
        <w:rPr>
          <w:rFonts w:ascii="Century Gothic" w:hAnsi="Century Gothic" w:cs="Arial"/>
          <w:sz w:val="24"/>
          <w:szCs w:val="24"/>
        </w:rPr>
        <w:t xml:space="preserve">Fuente: </w:t>
      </w:r>
      <w:r w:rsidR="0093724E">
        <w:rPr>
          <w:rFonts w:ascii="Century Gothic" w:hAnsi="Century Gothic" w:cs="Arial"/>
          <w:sz w:val="24"/>
          <w:szCs w:val="24"/>
        </w:rPr>
        <w:t>Elaboración propia.</w:t>
      </w:r>
    </w:p>
    <w:tbl>
      <w:tblPr>
        <w:tblStyle w:val="Tablaconcuadrcula"/>
        <w:tblW w:w="9180" w:type="dxa"/>
        <w:tblLayout w:type="fixed"/>
        <w:tblLook w:val="04A0" w:firstRow="1" w:lastRow="0" w:firstColumn="1" w:lastColumn="0" w:noHBand="0" w:noVBand="1"/>
      </w:tblPr>
      <w:tblGrid>
        <w:gridCol w:w="3227"/>
        <w:gridCol w:w="2410"/>
        <w:gridCol w:w="2409"/>
        <w:gridCol w:w="1134"/>
      </w:tblGrid>
      <w:tr w:rsidR="002F71E6" w:rsidTr="000D38C7">
        <w:tc>
          <w:tcPr>
            <w:tcW w:w="3227" w:type="dxa"/>
          </w:tcPr>
          <w:p w:rsidR="002F71E6" w:rsidRDefault="002F71E6" w:rsidP="000D38C7">
            <w:pPr>
              <w:rPr>
                <w:rFonts w:ascii="Century Gothic" w:hAnsi="Century Gothic" w:cs="Arial"/>
                <w:sz w:val="24"/>
                <w:szCs w:val="24"/>
              </w:rPr>
            </w:pPr>
          </w:p>
        </w:tc>
        <w:tc>
          <w:tcPr>
            <w:tcW w:w="2410" w:type="dxa"/>
          </w:tcPr>
          <w:p w:rsidR="002F71E6" w:rsidRDefault="002F71E6" w:rsidP="000D38C7">
            <w:pPr>
              <w:rPr>
                <w:rFonts w:ascii="Century Gothic" w:hAnsi="Century Gothic" w:cs="Arial"/>
                <w:sz w:val="24"/>
                <w:szCs w:val="24"/>
              </w:rPr>
            </w:pPr>
            <w:r>
              <w:rPr>
                <w:rFonts w:ascii="Century Gothic" w:hAnsi="Century Gothic" w:cs="Arial"/>
                <w:sz w:val="24"/>
                <w:szCs w:val="24"/>
              </w:rPr>
              <w:t>2016</w:t>
            </w:r>
          </w:p>
        </w:tc>
        <w:tc>
          <w:tcPr>
            <w:tcW w:w="2409" w:type="dxa"/>
          </w:tcPr>
          <w:p w:rsidR="002F71E6" w:rsidRDefault="002F71E6" w:rsidP="000D38C7">
            <w:pPr>
              <w:rPr>
                <w:rFonts w:ascii="Century Gothic" w:hAnsi="Century Gothic" w:cs="Arial"/>
                <w:sz w:val="24"/>
                <w:szCs w:val="24"/>
              </w:rPr>
            </w:pPr>
            <w:r>
              <w:rPr>
                <w:rFonts w:ascii="Century Gothic" w:hAnsi="Century Gothic" w:cs="Arial"/>
                <w:sz w:val="24"/>
                <w:szCs w:val="24"/>
              </w:rPr>
              <w:t>2017</w:t>
            </w:r>
          </w:p>
        </w:tc>
        <w:tc>
          <w:tcPr>
            <w:tcW w:w="1134" w:type="dxa"/>
          </w:tcPr>
          <w:p w:rsidR="002F71E6" w:rsidRDefault="002F71E6" w:rsidP="000D38C7">
            <w:pPr>
              <w:jc w:val="center"/>
              <w:rPr>
                <w:rFonts w:ascii="Century Gothic" w:hAnsi="Century Gothic" w:cs="Arial"/>
                <w:sz w:val="24"/>
                <w:szCs w:val="24"/>
              </w:rPr>
            </w:pPr>
            <w:r>
              <w:rPr>
                <w:rFonts w:ascii="Century Gothic" w:hAnsi="Century Gothic" w:cs="Arial"/>
                <w:sz w:val="24"/>
                <w:szCs w:val="24"/>
              </w:rPr>
              <w:t>%</w:t>
            </w:r>
          </w:p>
        </w:tc>
      </w:tr>
      <w:tr w:rsidR="002F71E6" w:rsidTr="000D38C7">
        <w:tc>
          <w:tcPr>
            <w:tcW w:w="3227" w:type="dxa"/>
          </w:tcPr>
          <w:p w:rsidR="002F71E6" w:rsidRDefault="002F71E6" w:rsidP="000D38C7">
            <w:pPr>
              <w:rPr>
                <w:rFonts w:ascii="Century Gothic" w:hAnsi="Century Gothic" w:cs="Arial"/>
                <w:sz w:val="24"/>
                <w:szCs w:val="24"/>
              </w:rPr>
            </w:pPr>
            <w:r>
              <w:rPr>
                <w:rFonts w:ascii="Century Gothic" w:hAnsi="Century Gothic" w:cs="Arial"/>
                <w:sz w:val="24"/>
                <w:szCs w:val="24"/>
              </w:rPr>
              <w:t>Servicios Personales</w:t>
            </w:r>
          </w:p>
        </w:tc>
        <w:tc>
          <w:tcPr>
            <w:tcW w:w="2410" w:type="dxa"/>
            <w:vAlign w:val="center"/>
          </w:tcPr>
          <w:p w:rsidR="002F71E6" w:rsidRPr="008E6D03" w:rsidRDefault="002F71E6" w:rsidP="000D38C7">
            <w:pPr>
              <w:jc w:val="right"/>
              <w:rPr>
                <w:rFonts w:ascii="Century Gothic" w:hAnsi="Century Gothic" w:cs="Arial"/>
                <w:sz w:val="24"/>
                <w:szCs w:val="24"/>
              </w:rPr>
            </w:pPr>
            <w:r w:rsidRPr="008E6D03">
              <w:rPr>
                <w:rFonts w:ascii="Century Gothic" w:hAnsi="Century Gothic" w:cs="Arial"/>
                <w:sz w:val="24"/>
                <w:szCs w:val="24"/>
              </w:rPr>
              <w:t xml:space="preserve">$9,130,327,547.00 </w:t>
            </w:r>
          </w:p>
        </w:tc>
        <w:tc>
          <w:tcPr>
            <w:tcW w:w="2409" w:type="dxa"/>
            <w:vAlign w:val="center"/>
          </w:tcPr>
          <w:p w:rsidR="002F71E6" w:rsidRDefault="002F71E6" w:rsidP="000D38C7">
            <w:pPr>
              <w:jc w:val="right"/>
            </w:pPr>
            <w:r w:rsidRPr="008E6D03">
              <w:rPr>
                <w:rFonts w:ascii="Century Gothic" w:hAnsi="Century Gothic" w:cs="Arial"/>
                <w:sz w:val="24"/>
                <w:szCs w:val="24"/>
              </w:rPr>
              <w:t xml:space="preserve">$9,481,569,345.98 </w:t>
            </w:r>
          </w:p>
        </w:tc>
        <w:tc>
          <w:tcPr>
            <w:tcW w:w="1134" w:type="dxa"/>
            <w:vAlign w:val="center"/>
          </w:tcPr>
          <w:p w:rsidR="002F71E6" w:rsidRDefault="002F71E6" w:rsidP="000D38C7">
            <w:pPr>
              <w:jc w:val="right"/>
              <w:rPr>
                <w:rFonts w:ascii="Century Gothic" w:hAnsi="Century Gothic" w:cs="Arial"/>
                <w:sz w:val="24"/>
                <w:szCs w:val="24"/>
              </w:rPr>
            </w:pPr>
            <w:r>
              <w:rPr>
                <w:rFonts w:ascii="Century Gothic" w:hAnsi="Century Gothic" w:cs="Arial"/>
                <w:sz w:val="24"/>
                <w:szCs w:val="24"/>
              </w:rPr>
              <w:t>3.85%</w:t>
            </w:r>
          </w:p>
        </w:tc>
      </w:tr>
      <w:tr w:rsidR="002F71E6" w:rsidTr="000D38C7">
        <w:tc>
          <w:tcPr>
            <w:tcW w:w="3227" w:type="dxa"/>
          </w:tcPr>
          <w:p w:rsidR="002F71E6" w:rsidRDefault="002F71E6" w:rsidP="000D38C7">
            <w:pPr>
              <w:rPr>
                <w:rFonts w:ascii="Century Gothic" w:hAnsi="Century Gothic" w:cs="Arial"/>
                <w:sz w:val="24"/>
                <w:szCs w:val="24"/>
              </w:rPr>
            </w:pPr>
            <w:r>
              <w:rPr>
                <w:rFonts w:ascii="Century Gothic" w:hAnsi="Century Gothic" w:cs="Arial"/>
                <w:sz w:val="24"/>
                <w:szCs w:val="24"/>
              </w:rPr>
              <w:t>Gastos de Operación</w:t>
            </w:r>
          </w:p>
        </w:tc>
        <w:tc>
          <w:tcPr>
            <w:tcW w:w="2410" w:type="dxa"/>
            <w:vAlign w:val="center"/>
          </w:tcPr>
          <w:p w:rsidR="002F71E6" w:rsidRPr="00753B32" w:rsidRDefault="002F71E6" w:rsidP="000D38C7">
            <w:pPr>
              <w:jc w:val="right"/>
              <w:rPr>
                <w:rFonts w:ascii="Century Gothic" w:hAnsi="Century Gothic" w:cs="Arial"/>
                <w:sz w:val="24"/>
                <w:szCs w:val="24"/>
              </w:rPr>
            </w:pPr>
            <w:r w:rsidRPr="00753B32">
              <w:rPr>
                <w:rFonts w:ascii="Century Gothic" w:hAnsi="Century Gothic" w:cs="Arial"/>
                <w:sz w:val="24"/>
                <w:szCs w:val="24"/>
              </w:rPr>
              <w:t xml:space="preserve">$1,056,478,346.00 </w:t>
            </w:r>
          </w:p>
        </w:tc>
        <w:tc>
          <w:tcPr>
            <w:tcW w:w="2409" w:type="dxa"/>
            <w:vAlign w:val="center"/>
          </w:tcPr>
          <w:p w:rsidR="002F71E6" w:rsidRDefault="002F71E6" w:rsidP="000D38C7">
            <w:pPr>
              <w:jc w:val="right"/>
            </w:pPr>
            <w:r w:rsidRPr="00753B32">
              <w:rPr>
                <w:rFonts w:ascii="Century Gothic" w:hAnsi="Century Gothic" w:cs="Arial"/>
                <w:sz w:val="24"/>
                <w:szCs w:val="24"/>
              </w:rPr>
              <w:t xml:space="preserve">$1,045,216,724.10 </w:t>
            </w:r>
          </w:p>
        </w:tc>
        <w:tc>
          <w:tcPr>
            <w:tcW w:w="1134" w:type="dxa"/>
            <w:vAlign w:val="center"/>
          </w:tcPr>
          <w:p w:rsidR="002F71E6" w:rsidRDefault="002F71E6" w:rsidP="000D38C7">
            <w:pPr>
              <w:jc w:val="right"/>
              <w:rPr>
                <w:rFonts w:ascii="Century Gothic" w:hAnsi="Century Gothic" w:cs="Arial"/>
                <w:sz w:val="24"/>
                <w:szCs w:val="24"/>
              </w:rPr>
            </w:pPr>
            <w:r w:rsidRPr="00E04DAF">
              <w:rPr>
                <w:rFonts w:ascii="Century Gothic" w:hAnsi="Century Gothic" w:cs="Arial"/>
                <w:color w:val="FF0000"/>
                <w:sz w:val="24"/>
                <w:szCs w:val="24"/>
              </w:rPr>
              <w:t>-1.07%</w:t>
            </w:r>
          </w:p>
        </w:tc>
      </w:tr>
      <w:tr w:rsidR="002F71E6" w:rsidTr="000D38C7">
        <w:tc>
          <w:tcPr>
            <w:tcW w:w="3227" w:type="dxa"/>
          </w:tcPr>
          <w:p w:rsidR="002F71E6" w:rsidRDefault="002F71E6" w:rsidP="000D38C7">
            <w:pPr>
              <w:rPr>
                <w:rFonts w:ascii="Century Gothic" w:hAnsi="Century Gothic" w:cs="Arial"/>
                <w:sz w:val="24"/>
                <w:szCs w:val="24"/>
              </w:rPr>
            </w:pPr>
            <w:r>
              <w:rPr>
                <w:rFonts w:ascii="Century Gothic" w:hAnsi="Century Gothic" w:cs="Arial"/>
                <w:sz w:val="24"/>
                <w:szCs w:val="24"/>
              </w:rPr>
              <w:t>Fondo de Compensación</w:t>
            </w:r>
          </w:p>
        </w:tc>
        <w:tc>
          <w:tcPr>
            <w:tcW w:w="2410" w:type="dxa"/>
            <w:vAlign w:val="center"/>
          </w:tcPr>
          <w:p w:rsidR="002F71E6" w:rsidRPr="00996B6C" w:rsidRDefault="002F71E6" w:rsidP="000D38C7">
            <w:pPr>
              <w:jc w:val="right"/>
              <w:rPr>
                <w:rFonts w:ascii="Century Gothic" w:hAnsi="Century Gothic" w:cs="Arial"/>
                <w:sz w:val="24"/>
                <w:szCs w:val="24"/>
              </w:rPr>
            </w:pPr>
            <w:r w:rsidRPr="00996B6C">
              <w:rPr>
                <w:rFonts w:ascii="Century Gothic" w:hAnsi="Century Gothic" w:cs="Arial"/>
                <w:sz w:val="24"/>
                <w:szCs w:val="24"/>
              </w:rPr>
              <w:t xml:space="preserve">$193,277,846.00 </w:t>
            </w:r>
          </w:p>
        </w:tc>
        <w:tc>
          <w:tcPr>
            <w:tcW w:w="2409" w:type="dxa"/>
            <w:vAlign w:val="center"/>
          </w:tcPr>
          <w:p w:rsidR="002F71E6" w:rsidRPr="00996B6C" w:rsidRDefault="002F71E6" w:rsidP="000D38C7">
            <w:pPr>
              <w:jc w:val="right"/>
              <w:rPr>
                <w:rFonts w:ascii="Century Gothic" w:hAnsi="Century Gothic" w:cs="Arial"/>
                <w:sz w:val="24"/>
                <w:szCs w:val="24"/>
              </w:rPr>
            </w:pPr>
            <w:r w:rsidRPr="00996B6C">
              <w:rPr>
                <w:rFonts w:ascii="Century Gothic" w:hAnsi="Century Gothic" w:cs="Arial"/>
                <w:sz w:val="24"/>
                <w:szCs w:val="24"/>
              </w:rPr>
              <w:t xml:space="preserve"> $199,356,530.98</w:t>
            </w:r>
          </w:p>
        </w:tc>
        <w:tc>
          <w:tcPr>
            <w:tcW w:w="1134" w:type="dxa"/>
            <w:vAlign w:val="center"/>
          </w:tcPr>
          <w:p w:rsidR="002F71E6" w:rsidRDefault="002F71E6" w:rsidP="000D38C7">
            <w:pPr>
              <w:jc w:val="right"/>
              <w:rPr>
                <w:rFonts w:ascii="Century Gothic" w:hAnsi="Century Gothic" w:cs="Arial"/>
                <w:sz w:val="24"/>
                <w:szCs w:val="24"/>
              </w:rPr>
            </w:pPr>
            <w:r>
              <w:rPr>
                <w:rFonts w:ascii="Century Gothic" w:hAnsi="Century Gothic" w:cs="Arial"/>
                <w:sz w:val="24"/>
                <w:szCs w:val="24"/>
              </w:rPr>
              <w:t>3.15%</w:t>
            </w:r>
          </w:p>
        </w:tc>
      </w:tr>
      <w:tr w:rsidR="002F71E6" w:rsidTr="000D38C7">
        <w:tc>
          <w:tcPr>
            <w:tcW w:w="3227" w:type="dxa"/>
          </w:tcPr>
          <w:p w:rsidR="002F71E6" w:rsidRDefault="002F71E6" w:rsidP="000D38C7">
            <w:pPr>
              <w:rPr>
                <w:rFonts w:ascii="Century Gothic" w:hAnsi="Century Gothic" w:cs="Arial"/>
                <w:sz w:val="24"/>
                <w:szCs w:val="24"/>
              </w:rPr>
            </w:pPr>
            <w:r>
              <w:rPr>
                <w:rFonts w:ascii="Century Gothic" w:hAnsi="Century Gothic" w:cs="Arial"/>
                <w:sz w:val="24"/>
                <w:szCs w:val="24"/>
              </w:rPr>
              <w:t xml:space="preserve">Total </w:t>
            </w:r>
          </w:p>
        </w:tc>
        <w:tc>
          <w:tcPr>
            <w:tcW w:w="2410" w:type="dxa"/>
            <w:vAlign w:val="center"/>
          </w:tcPr>
          <w:p w:rsidR="002F71E6" w:rsidRPr="00E00129" w:rsidRDefault="002F71E6" w:rsidP="000D38C7">
            <w:pPr>
              <w:jc w:val="right"/>
              <w:rPr>
                <w:rFonts w:ascii="Century Gothic" w:hAnsi="Century Gothic"/>
                <w:color w:val="000000"/>
                <w:sz w:val="24"/>
                <w:szCs w:val="24"/>
              </w:rPr>
            </w:pPr>
            <w:r w:rsidRPr="00E00129">
              <w:rPr>
                <w:rFonts w:ascii="Century Gothic" w:hAnsi="Century Gothic" w:cs="Arial"/>
                <w:color w:val="000000"/>
                <w:sz w:val="24"/>
              </w:rPr>
              <w:t>$10,380,083,739.00</w:t>
            </w:r>
          </w:p>
        </w:tc>
        <w:tc>
          <w:tcPr>
            <w:tcW w:w="2409" w:type="dxa"/>
            <w:vAlign w:val="center"/>
          </w:tcPr>
          <w:p w:rsidR="002F71E6" w:rsidRPr="00E00129" w:rsidRDefault="002F71E6" w:rsidP="000D38C7">
            <w:pPr>
              <w:rPr>
                <w:rFonts w:ascii="Century Gothic" w:hAnsi="Century Gothic"/>
                <w:color w:val="000000"/>
                <w:sz w:val="24"/>
                <w:szCs w:val="24"/>
              </w:rPr>
            </w:pPr>
            <w:r w:rsidRPr="00E00129">
              <w:rPr>
                <w:rFonts w:ascii="Century Gothic" w:hAnsi="Century Gothic"/>
                <w:color w:val="000000"/>
                <w:sz w:val="24"/>
                <w:szCs w:val="24"/>
              </w:rPr>
              <w:t>$10,726,142,601.06</w:t>
            </w:r>
          </w:p>
        </w:tc>
        <w:tc>
          <w:tcPr>
            <w:tcW w:w="1134" w:type="dxa"/>
            <w:vAlign w:val="center"/>
          </w:tcPr>
          <w:p w:rsidR="002F71E6" w:rsidRPr="00E00129" w:rsidRDefault="002F71E6" w:rsidP="000D38C7">
            <w:pPr>
              <w:jc w:val="right"/>
              <w:rPr>
                <w:rFonts w:ascii="Century Gothic" w:hAnsi="Century Gothic"/>
                <w:color w:val="000000"/>
                <w:sz w:val="24"/>
                <w:szCs w:val="24"/>
              </w:rPr>
            </w:pPr>
            <w:r w:rsidRPr="00E00129">
              <w:rPr>
                <w:rFonts w:ascii="Century Gothic" w:hAnsi="Century Gothic"/>
                <w:color w:val="000000"/>
                <w:sz w:val="24"/>
              </w:rPr>
              <w:t>3.33</w:t>
            </w:r>
          </w:p>
        </w:tc>
      </w:tr>
    </w:tbl>
    <w:p w:rsidR="002F71E6" w:rsidRDefault="002F71E6" w:rsidP="002F71E6">
      <w:pPr>
        <w:rPr>
          <w:rFonts w:ascii="Century Gothic" w:hAnsi="Century Gothic" w:cs="Arial"/>
          <w:sz w:val="24"/>
          <w:szCs w:val="24"/>
        </w:rPr>
      </w:pPr>
      <w:r>
        <w:rPr>
          <w:rFonts w:ascii="Century Gothic" w:hAnsi="Century Gothic" w:cs="Arial"/>
          <w:sz w:val="24"/>
          <w:szCs w:val="24"/>
        </w:rPr>
        <w:t xml:space="preserve">Fuente: Elaboración propia.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Como se puede observar en la tabla anterior la asignación inicial del Fondo fue mayor para 2017, en el concepto que mayor crecimiento presentó fue el de Servicios Personales (3.85%) respecto al 2016, el cual tiene la particularidad de que se ejerce directamente por la Federación (SHCP) al centralizarse la nómina educativa; mientras que el de Gastos de Operación presenta una reducción del 1.07% conforme a la asignación presentada en el 2016, el Fondo de Compensación tiene un incremente del 3.15%.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El comportamiento presupuestal del Fondo se puede observar a continuación: </w:t>
      </w:r>
    </w:p>
    <w:tbl>
      <w:tblPr>
        <w:tblStyle w:val="Tablaconcuadrcula"/>
        <w:tblW w:w="9287" w:type="dxa"/>
        <w:jc w:val="center"/>
        <w:tblLook w:val="04A0" w:firstRow="1" w:lastRow="0" w:firstColumn="1" w:lastColumn="0" w:noHBand="0" w:noVBand="1"/>
      </w:tblPr>
      <w:tblGrid>
        <w:gridCol w:w="2862"/>
        <w:gridCol w:w="2068"/>
        <w:gridCol w:w="2481"/>
        <w:gridCol w:w="1876"/>
      </w:tblGrid>
      <w:tr w:rsidR="002F71E6" w:rsidRPr="00A12907" w:rsidTr="000D38C7">
        <w:trPr>
          <w:trHeight w:val="680"/>
          <w:jc w:val="center"/>
        </w:trPr>
        <w:tc>
          <w:tcPr>
            <w:tcW w:w="2862"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p>
        </w:tc>
        <w:tc>
          <w:tcPr>
            <w:tcW w:w="2068"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Asignación inicial</w:t>
            </w:r>
          </w:p>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FONE -SHCP</w:t>
            </w:r>
          </w:p>
        </w:tc>
        <w:tc>
          <w:tcPr>
            <w:tcW w:w="2481"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Presupuesto Modificado</w:t>
            </w:r>
          </w:p>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FONE-SHCP-SFU</w:t>
            </w:r>
          </w:p>
        </w:tc>
        <w:tc>
          <w:tcPr>
            <w:tcW w:w="1876" w:type="dxa"/>
            <w:vAlign w:val="center"/>
          </w:tcPr>
          <w:p w:rsidR="002F71E6" w:rsidRPr="00A12907" w:rsidRDefault="002F71E6" w:rsidP="000D38C7">
            <w:pPr>
              <w:autoSpaceDE w:val="0"/>
              <w:autoSpaceDN w:val="0"/>
              <w:adjustRightInd w:val="0"/>
              <w:jc w:val="center"/>
              <w:rPr>
                <w:rFonts w:ascii="Century Gothic" w:hAnsi="Century Gothic"/>
                <w:b/>
                <w:sz w:val="20"/>
                <w:szCs w:val="20"/>
              </w:rPr>
            </w:pPr>
            <w:r w:rsidRPr="00A12907">
              <w:rPr>
                <w:rFonts w:ascii="Century Gothic" w:hAnsi="Century Gothic"/>
                <w:b/>
                <w:sz w:val="20"/>
                <w:szCs w:val="20"/>
              </w:rPr>
              <w:t>Presupuesto Pagado</w:t>
            </w:r>
            <w:r>
              <w:rPr>
                <w:rFonts w:ascii="Century Gothic" w:hAnsi="Century Gothic"/>
                <w:b/>
                <w:sz w:val="20"/>
                <w:szCs w:val="20"/>
              </w:rPr>
              <w:t xml:space="preserve"> FONE -SHCP</w:t>
            </w:r>
          </w:p>
        </w:tc>
      </w:tr>
      <w:tr w:rsidR="002F71E6" w:rsidRPr="00A12907" w:rsidTr="000D38C7">
        <w:trPr>
          <w:trHeight w:val="87"/>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Servicios Personales</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9’481,569,345.98</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9’481,569,346.02</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4,531,242,260.95</w:t>
            </w:r>
          </w:p>
        </w:tc>
      </w:tr>
      <w:tr w:rsidR="002F71E6" w:rsidRPr="00A12907" w:rsidTr="000D38C7">
        <w:trPr>
          <w:trHeight w:val="223"/>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 xml:space="preserve">Gastos de Operación </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1’045,216,724.10</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1’043,648,899.10</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902,110,124.00</w:t>
            </w:r>
          </w:p>
        </w:tc>
      </w:tr>
      <w:tr w:rsidR="002F71E6" w:rsidRPr="00A12907" w:rsidTr="000D38C7">
        <w:trPr>
          <w:trHeight w:val="87"/>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 xml:space="preserve">Fondo de Compensación </w:t>
            </w:r>
          </w:p>
        </w:tc>
        <w:tc>
          <w:tcPr>
            <w:tcW w:w="2068"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199’656,015.03</w:t>
            </w:r>
          </w:p>
        </w:tc>
        <w:tc>
          <w:tcPr>
            <w:tcW w:w="2481"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sidRPr="00A12907">
              <w:rPr>
                <w:rFonts w:ascii="Century Gothic" w:hAnsi="Century Gothic"/>
                <w:sz w:val="20"/>
                <w:szCs w:val="20"/>
              </w:rPr>
              <w:t>199’356,530.98</w:t>
            </w:r>
          </w:p>
        </w:tc>
        <w:tc>
          <w:tcPr>
            <w:tcW w:w="1876" w:type="dxa"/>
            <w:shd w:val="clear" w:color="auto" w:fill="auto"/>
          </w:tcPr>
          <w:p w:rsidR="002F71E6" w:rsidRPr="00A12907" w:rsidRDefault="002F71E6" w:rsidP="000D38C7">
            <w:pPr>
              <w:autoSpaceDE w:val="0"/>
              <w:autoSpaceDN w:val="0"/>
              <w:adjustRightInd w:val="0"/>
              <w:jc w:val="right"/>
              <w:rPr>
                <w:rFonts w:ascii="Century Gothic" w:hAnsi="Century Gothic"/>
                <w:sz w:val="20"/>
                <w:szCs w:val="20"/>
              </w:rPr>
            </w:pPr>
            <w:r>
              <w:rPr>
                <w:rFonts w:ascii="Century Gothic" w:hAnsi="Century Gothic"/>
                <w:sz w:val="20"/>
                <w:szCs w:val="20"/>
              </w:rPr>
              <w:t>99’678,260.00</w:t>
            </w:r>
          </w:p>
        </w:tc>
      </w:tr>
      <w:tr w:rsidR="002F71E6" w:rsidRPr="00A12907" w:rsidTr="000D38C7">
        <w:trPr>
          <w:trHeight w:val="88"/>
          <w:jc w:val="center"/>
        </w:trPr>
        <w:tc>
          <w:tcPr>
            <w:tcW w:w="2862" w:type="dxa"/>
          </w:tcPr>
          <w:p w:rsidR="002F71E6" w:rsidRPr="00A12907" w:rsidRDefault="002F71E6" w:rsidP="000D38C7">
            <w:pPr>
              <w:autoSpaceDE w:val="0"/>
              <w:autoSpaceDN w:val="0"/>
              <w:adjustRightInd w:val="0"/>
              <w:jc w:val="both"/>
              <w:rPr>
                <w:rFonts w:ascii="Century Gothic" w:hAnsi="Century Gothic"/>
                <w:b/>
                <w:sz w:val="20"/>
                <w:szCs w:val="20"/>
              </w:rPr>
            </w:pPr>
            <w:r w:rsidRPr="00A12907">
              <w:rPr>
                <w:rFonts w:ascii="Century Gothic" w:hAnsi="Century Gothic"/>
                <w:b/>
                <w:sz w:val="20"/>
                <w:szCs w:val="20"/>
              </w:rPr>
              <w:t>Total</w:t>
            </w:r>
          </w:p>
        </w:tc>
        <w:tc>
          <w:tcPr>
            <w:tcW w:w="2068" w:type="dxa"/>
          </w:tcPr>
          <w:p w:rsidR="002F71E6" w:rsidRPr="00A12907" w:rsidRDefault="002F71E6" w:rsidP="000D38C7">
            <w:pPr>
              <w:autoSpaceDE w:val="0"/>
              <w:autoSpaceDN w:val="0"/>
              <w:adjustRightInd w:val="0"/>
              <w:jc w:val="right"/>
              <w:rPr>
                <w:rFonts w:ascii="Century Gothic" w:hAnsi="Century Gothic"/>
                <w:b/>
                <w:sz w:val="20"/>
                <w:szCs w:val="20"/>
              </w:rPr>
            </w:pPr>
            <w:r w:rsidRPr="00A12907">
              <w:rPr>
                <w:rFonts w:ascii="Century Gothic" w:hAnsi="Century Gothic"/>
                <w:b/>
                <w:sz w:val="20"/>
                <w:szCs w:val="20"/>
              </w:rPr>
              <w:t>10’726,442,085.11</w:t>
            </w:r>
          </w:p>
        </w:tc>
        <w:tc>
          <w:tcPr>
            <w:tcW w:w="2481" w:type="dxa"/>
          </w:tcPr>
          <w:p w:rsidR="002F71E6" w:rsidRPr="00A12907" w:rsidRDefault="002F71E6" w:rsidP="000D38C7">
            <w:pPr>
              <w:jc w:val="right"/>
              <w:rPr>
                <w:rFonts w:ascii="Century Gothic" w:hAnsi="Century Gothic" w:cs="Calibri"/>
                <w:b/>
                <w:color w:val="000000"/>
                <w:sz w:val="20"/>
                <w:szCs w:val="20"/>
              </w:rPr>
            </w:pPr>
            <w:r w:rsidRPr="00A12907">
              <w:rPr>
                <w:rFonts w:ascii="Century Gothic" w:hAnsi="Century Gothic" w:cs="Calibri"/>
                <w:b/>
                <w:color w:val="000000"/>
                <w:sz w:val="20"/>
                <w:szCs w:val="20"/>
              </w:rPr>
              <w:t>10’724,574,776.10</w:t>
            </w:r>
          </w:p>
        </w:tc>
        <w:tc>
          <w:tcPr>
            <w:tcW w:w="1876" w:type="dxa"/>
          </w:tcPr>
          <w:p w:rsidR="002F71E6" w:rsidRPr="00A12907" w:rsidRDefault="002F71E6" w:rsidP="000D38C7">
            <w:pPr>
              <w:autoSpaceDE w:val="0"/>
              <w:autoSpaceDN w:val="0"/>
              <w:adjustRightInd w:val="0"/>
              <w:jc w:val="right"/>
              <w:rPr>
                <w:rFonts w:ascii="Century Gothic" w:hAnsi="Century Gothic"/>
                <w:b/>
                <w:sz w:val="20"/>
                <w:szCs w:val="20"/>
              </w:rPr>
            </w:pPr>
            <w:r>
              <w:rPr>
                <w:rFonts w:ascii="Century Gothic" w:hAnsi="Century Gothic"/>
                <w:b/>
                <w:sz w:val="20"/>
                <w:szCs w:val="20"/>
              </w:rPr>
              <w:t>5’533,030,644.95</w:t>
            </w:r>
          </w:p>
        </w:tc>
      </w:tr>
    </w:tbl>
    <w:p w:rsidR="002F71E6" w:rsidRDefault="002F71E6" w:rsidP="002F71E6">
      <w:pPr>
        <w:tabs>
          <w:tab w:val="left" w:pos="1658"/>
        </w:tabs>
        <w:jc w:val="both"/>
        <w:rPr>
          <w:rFonts w:ascii="Century Gothic" w:hAnsi="Century Gothic" w:cs="Arial"/>
          <w:szCs w:val="24"/>
        </w:rPr>
      </w:pPr>
      <w:r w:rsidRPr="005F4A10">
        <w:rPr>
          <w:rFonts w:ascii="Century Gothic" w:hAnsi="Century Gothic" w:cs="Arial"/>
          <w:b/>
          <w:szCs w:val="24"/>
        </w:rPr>
        <w:t>Fuente:</w:t>
      </w:r>
      <w:r w:rsidRPr="005F4A10">
        <w:rPr>
          <w:rFonts w:ascii="Century Gothic" w:hAnsi="Century Gothic" w:cs="Arial"/>
          <w:szCs w:val="24"/>
        </w:rPr>
        <w:t xml:space="preserve"> Informes sobre la Situación Económica, las Finanzas Públicas y la Deuda Pública, Baja California. Segundo Trimestre 2017. </w:t>
      </w:r>
      <w:r>
        <w:rPr>
          <w:rFonts w:ascii="Century Gothic" w:hAnsi="Century Gothic" w:cs="Arial"/>
          <w:szCs w:val="24"/>
        </w:rPr>
        <w:t xml:space="preserve">(Anexo 1) </w:t>
      </w:r>
    </w:p>
    <w:p w:rsidR="002F71E6" w:rsidRDefault="002F71E6" w:rsidP="002F71E6">
      <w:pPr>
        <w:tabs>
          <w:tab w:val="left" w:pos="1658"/>
        </w:tabs>
        <w:jc w:val="both"/>
        <w:rPr>
          <w:rFonts w:ascii="Century Gothic" w:hAnsi="Century Gothic" w:cs="Arial"/>
          <w:sz w:val="24"/>
          <w:szCs w:val="24"/>
        </w:rPr>
      </w:pPr>
      <w:r w:rsidRPr="006C4EA1">
        <w:rPr>
          <w:rFonts w:ascii="Century Gothic" w:hAnsi="Century Gothic" w:cs="Arial"/>
          <w:sz w:val="24"/>
          <w:szCs w:val="24"/>
        </w:rPr>
        <w:t xml:space="preserve">De acuerdo a los Lineamientos del Gasto de Operación del Fondo de Aportaciones para la Nómina Educativa y Gasto de Operación, establecen que los recursos provenientes del Fondo, serán radicados al Gobierno del Estado (Secretaría de Planeación y Finanzas) mismos que se deberán ser transferidos a la Autoridad Educativa Local (Instituto de Servicios Educativos y Pedagógicos del Estado), los cuales son ejercidos de acuerdo a la normatividad aplicable. </w:t>
      </w:r>
    </w:p>
    <w:p w:rsidR="002F71E6" w:rsidRPr="006C4EA1"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Estos recursos solo podrán ser destinados a las partidas de gastos que conforman los Capítulos de Materiales y Suministros y el de Servicios Generales. </w:t>
      </w:r>
    </w:p>
    <w:p w:rsidR="002F71E6" w:rsidRPr="006C4EA1" w:rsidRDefault="002F71E6" w:rsidP="002F71E6">
      <w:pPr>
        <w:tabs>
          <w:tab w:val="left" w:pos="1658"/>
        </w:tabs>
        <w:jc w:val="both"/>
        <w:rPr>
          <w:rFonts w:ascii="Century Gothic" w:hAnsi="Century Gothic" w:cs="Arial"/>
          <w:sz w:val="24"/>
          <w:szCs w:val="24"/>
        </w:rPr>
      </w:pPr>
      <w:r w:rsidRPr="006C4EA1">
        <w:rPr>
          <w:rFonts w:ascii="Century Gothic" w:hAnsi="Century Gothic" w:cs="Arial"/>
          <w:sz w:val="24"/>
          <w:szCs w:val="24"/>
        </w:rPr>
        <w:t>Mediante el Oficio número 801.1-043, con fecha del 30 de Diciembre de 2014 se dan a conocer los Lineamientos establecidos para uno de los tres conceptos que conforman el Fondo, el de Gasto de Operación indicando que su entrada en vigor sería el 1ero de Enero del 2015.</w:t>
      </w:r>
    </w:p>
    <w:p w:rsidR="002F71E6" w:rsidRPr="006C4EA1" w:rsidRDefault="002F71E6" w:rsidP="002F71E6">
      <w:pPr>
        <w:tabs>
          <w:tab w:val="left" w:pos="1658"/>
        </w:tabs>
        <w:jc w:val="both"/>
        <w:rPr>
          <w:rFonts w:ascii="Century Gothic" w:hAnsi="Century Gothic" w:cs="Arial"/>
          <w:sz w:val="24"/>
          <w:szCs w:val="24"/>
        </w:rPr>
      </w:pPr>
      <w:r w:rsidRPr="006C4EA1">
        <w:rPr>
          <w:rFonts w:ascii="Century Gothic" w:hAnsi="Century Gothic" w:cs="Arial"/>
          <w:sz w:val="24"/>
          <w:szCs w:val="24"/>
        </w:rPr>
        <w:t xml:space="preserve">En el caso de los Servicios Personales, el recurso no se radica al Estado, ya que se ejerce de manera centralizada, sin embargo si se lleva a cabo el registro de dicho presupuesto y de su ejercicio tanto en Gobierno del Estado como en ISEP.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Según la Información reportada por el ISEP en su Avance Presupuestal por Fuente de Financiamiento</w:t>
      </w:r>
      <w:r>
        <w:rPr>
          <w:rFonts w:ascii="Century Gothic" w:hAnsi="Century Gothic" w:cs="Arial"/>
          <w:sz w:val="24"/>
          <w:szCs w:val="24"/>
          <w:vertAlign w:val="superscript"/>
        </w:rPr>
        <w:t>1</w:t>
      </w:r>
      <w:r>
        <w:rPr>
          <w:rFonts w:ascii="Century Gothic" w:hAnsi="Century Gothic" w:cs="Arial"/>
          <w:sz w:val="24"/>
          <w:szCs w:val="24"/>
        </w:rPr>
        <w:t xml:space="preserve"> reportado en abril del 2017, estos fueron los ingresos recaudados: </w:t>
      </w:r>
    </w:p>
    <w:p w:rsidR="002F71E6" w:rsidRDefault="002F71E6" w:rsidP="002F71E6">
      <w:pPr>
        <w:tabs>
          <w:tab w:val="left" w:pos="1658"/>
        </w:tabs>
        <w:jc w:val="both"/>
        <w:rPr>
          <w:rFonts w:ascii="Century Gothic" w:hAnsi="Century Gothic" w:cs="Arial"/>
          <w:sz w:val="24"/>
          <w:szCs w:val="24"/>
        </w:rPr>
      </w:pPr>
    </w:p>
    <w:p w:rsidR="0093724E" w:rsidRDefault="0093724E" w:rsidP="002F71E6">
      <w:pPr>
        <w:tabs>
          <w:tab w:val="left" w:pos="1658"/>
        </w:tabs>
        <w:jc w:val="both"/>
        <w:rPr>
          <w:rFonts w:ascii="Century Gothic" w:hAnsi="Century Gothic" w:cs="Arial"/>
          <w:sz w:val="24"/>
          <w:szCs w:val="24"/>
        </w:rPr>
      </w:pPr>
    </w:p>
    <w:p w:rsidR="0093724E" w:rsidRDefault="0093724E" w:rsidP="002F71E6">
      <w:pPr>
        <w:tabs>
          <w:tab w:val="left" w:pos="1658"/>
        </w:tabs>
        <w:jc w:val="both"/>
        <w:rPr>
          <w:rFonts w:ascii="Century Gothic" w:hAnsi="Century Gothic" w:cs="Arial"/>
          <w:sz w:val="24"/>
          <w:szCs w:val="24"/>
        </w:rPr>
      </w:pPr>
    </w:p>
    <w:p w:rsidR="0093724E" w:rsidRDefault="0093724E" w:rsidP="002F71E6">
      <w:pPr>
        <w:tabs>
          <w:tab w:val="left" w:pos="1658"/>
        </w:tabs>
        <w:jc w:val="both"/>
        <w:rPr>
          <w:rFonts w:ascii="Century Gothic" w:hAnsi="Century Gothic" w:cs="Arial"/>
          <w:sz w:val="24"/>
          <w:szCs w:val="24"/>
        </w:rPr>
      </w:pPr>
    </w:p>
    <w:p w:rsidR="002F71E6" w:rsidRPr="00ED4922" w:rsidRDefault="002F71E6" w:rsidP="002F71E6">
      <w:pPr>
        <w:tabs>
          <w:tab w:val="left" w:pos="1658"/>
        </w:tabs>
        <w:spacing w:after="0"/>
        <w:jc w:val="center"/>
        <w:rPr>
          <w:rFonts w:ascii="Century Gothic" w:hAnsi="Century Gothic" w:cs="Arial"/>
          <w:b/>
          <w:sz w:val="24"/>
          <w:szCs w:val="24"/>
        </w:rPr>
      </w:pPr>
      <w:r>
        <w:rPr>
          <w:rFonts w:ascii="Century Gothic" w:hAnsi="Century Gothic" w:cs="Arial"/>
          <w:b/>
          <w:sz w:val="24"/>
          <w:szCs w:val="24"/>
        </w:rPr>
        <w:lastRenderedPageBreak/>
        <w:t>Instituto d</w:t>
      </w:r>
      <w:r w:rsidRPr="00ED4922">
        <w:rPr>
          <w:rFonts w:ascii="Century Gothic" w:hAnsi="Century Gothic" w:cs="Arial"/>
          <w:b/>
          <w:sz w:val="24"/>
          <w:szCs w:val="24"/>
        </w:rPr>
        <w:t xml:space="preserve">e Servicios Educativos </w:t>
      </w:r>
      <w:r>
        <w:rPr>
          <w:rFonts w:ascii="Century Gothic" w:hAnsi="Century Gothic" w:cs="Arial"/>
          <w:b/>
          <w:sz w:val="24"/>
          <w:szCs w:val="24"/>
        </w:rPr>
        <w:t>y</w:t>
      </w:r>
      <w:r w:rsidRPr="00ED4922">
        <w:rPr>
          <w:rFonts w:ascii="Century Gothic" w:hAnsi="Century Gothic" w:cs="Arial"/>
          <w:b/>
          <w:sz w:val="24"/>
          <w:szCs w:val="24"/>
        </w:rPr>
        <w:t xml:space="preserve"> Pedagógicos e Baja California</w:t>
      </w:r>
    </w:p>
    <w:p w:rsidR="002F71E6" w:rsidRPr="00ED4922" w:rsidRDefault="002F71E6" w:rsidP="002F71E6">
      <w:pPr>
        <w:tabs>
          <w:tab w:val="left" w:pos="1658"/>
        </w:tabs>
        <w:spacing w:after="0"/>
        <w:jc w:val="center"/>
        <w:rPr>
          <w:rFonts w:ascii="Century Gothic" w:hAnsi="Century Gothic" w:cs="Arial"/>
          <w:b/>
          <w:sz w:val="24"/>
          <w:szCs w:val="24"/>
        </w:rPr>
      </w:pPr>
      <w:r w:rsidRPr="00ED4922">
        <w:rPr>
          <w:rFonts w:ascii="Century Gothic" w:hAnsi="Century Gothic" w:cs="Arial"/>
          <w:b/>
          <w:sz w:val="24"/>
          <w:szCs w:val="24"/>
        </w:rPr>
        <w:t>Sistema De Evaluación Del Desempeño</w:t>
      </w:r>
    </w:p>
    <w:p w:rsidR="002F71E6" w:rsidRPr="00ED4922" w:rsidRDefault="002F71E6" w:rsidP="002F71E6">
      <w:pPr>
        <w:tabs>
          <w:tab w:val="left" w:pos="1658"/>
        </w:tabs>
        <w:spacing w:after="0"/>
        <w:jc w:val="center"/>
        <w:rPr>
          <w:rFonts w:ascii="Century Gothic" w:hAnsi="Century Gothic" w:cs="Arial"/>
          <w:b/>
          <w:sz w:val="24"/>
          <w:szCs w:val="24"/>
        </w:rPr>
      </w:pPr>
      <w:r w:rsidRPr="00ED4922">
        <w:rPr>
          <w:rFonts w:ascii="Century Gothic" w:hAnsi="Century Gothic" w:cs="Arial"/>
          <w:b/>
          <w:sz w:val="24"/>
          <w:szCs w:val="24"/>
        </w:rPr>
        <w:t>Seguimiento Programático – Presupuestal Mensual (Abril)</w:t>
      </w:r>
    </w:p>
    <w:p w:rsidR="002F71E6" w:rsidRDefault="002F71E6" w:rsidP="002F71E6">
      <w:pPr>
        <w:tabs>
          <w:tab w:val="left" w:pos="1658"/>
        </w:tabs>
        <w:spacing w:after="0"/>
        <w:jc w:val="center"/>
        <w:rPr>
          <w:rFonts w:ascii="Century Gothic" w:hAnsi="Century Gothic" w:cs="Arial"/>
          <w:b/>
          <w:sz w:val="24"/>
          <w:szCs w:val="24"/>
        </w:rPr>
      </w:pPr>
      <w:r w:rsidRPr="00ED4922">
        <w:rPr>
          <w:rFonts w:ascii="Century Gothic" w:hAnsi="Century Gothic" w:cs="Arial"/>
          <w:b/>
          <w:sz w:val="24"/>
          <w:szCs w:val="24"/>
        </w:rPr>
        <w:t>Avance Presupuestal por Fuente de Financiamiento</w:t>
      </w:r>
    </w:p>
    <w:p w:rsidR="002F71E6" w:rsidRPr="00ED4922" w:rsidRDefault="002F71E6" w:rsidP="002F71E6">
      <w:pPr>
        <w:tabs>
          <w:tab w:val="left" w:pos="1658"/>
        </w:tabs>
        <w:spacing w:after="0"/>
        <w:jc w:val="center"/>
        <w:rPr>
          <w:rFonts w:ascii="Century Gothic" w:hAnsi="Century Gothic" w:cs="Arial"/>
          <w:b/>
          <w:sz w:val="24"/>
          <w:szCs w:val="24"/>
        </w:rPr>
      </w:pPr>
    </w:p>
    <w:tbl>
      <w:tblPr>
        <w:tblStyle w:val="Tablaconcuadrcula"/>
        <w:tblW w:w="0" w:type="auto"/>
        <w:tblLook w:val="04A0" w:firstRow="1" w:lastRow="0" w:firstColumn="1" w:lastColumn="0" w:noHBand="0" w:noVBand="1"/>
      </w:tblPr>
      <w:tblGrid>
        <w:gridCol w:w="3044"/>
        <w:gridCol w:w="1940"/>
        <w:gridCol w:w="2035"/>
        <w:gridCol w:w="2035"/>
      </w:tblGrid>
      <w:tr w:rsidR="002F71E6" w:rsidRPr="00092DB6" w:rsidTr="000D38C7">
        <w:trPr>
          <w:trHeight w:val="199"/>
        </w:trPr>
        <w:tc>
          <w:tcPr>
            <w:tcW w:w="3044" w:type="dxa"/>
          </w:tcPr>
          <w:p w:rsidR="002F71E6" w:rsidRPr="00092DB6" w:rsidRDefault="002F71E6" w:rsidP="000D38C7">
            <w:pPr>
              <w:tabs>
                <w:tab w:val="left" w:pos="1658"/>
              </w:tabs>
              <w:jc w:val="both"/>
              <w:rPr>
                <w:rFonts w:ascii="Century Gothic" w:hAnsi="Century Gothic" w:cs="Arial"/>
                <w:szCs w:val="24"/>
              </w:rPr>
            </w:pPr>
            <w:r>
              <w:rPr>
                <w:rFonts w:ascii="Century Gothic" w:hAnsi="Century Gothic" w:cs="Arial"/>
                <w:sz w:val="24"/>
                <w:szCs w:val="24"/>
              </w:rPr>
              <w:t xml:space="preserve"> </w:t>
            </w:r>
          </w:p>
        </w:tc>
        <w:tc>
          <w:tcPr>
            <w:tcW w:w="1940"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 xml:space="preserve">Modificado </w:t>
            </w:r>
          </w:p>
        </w:tc>
        <w:tc>
          <w:tcPr>
            <w:tcW w:w="2035"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Comprometido</w:t>
            </w:r>
          </w:p>
        </w:tc>
        <w:tc>
          <w:tcPr>
            <w:tcW w:w="2035"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 xml:space="preserve">Devengado </w:t>
            </w:r>
          </w:p>
        </w:tc>
      </w:tr>
      <w:tr w:rsidR="002F71E6" w:rsidRPr="00092DB6" w:rsidTr="000D38C7">
        <w:trPr>
          <w:trHeight w:val="412"/>
        </w:trPr>
        <w:tc>
          <w:tcPr>
            <w:tcW w:w="3044"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 xml:space="preserve">FONE Servicios Personales </w:t>
            </w:r>
          </w:p>
        </w:tc>
        <w:tc>
          <w:tcPr>
            <w:tcW w:w="1940"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3’138,585,619.51</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1’778,024,972.40</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1’778,024,972.40</w:t>
            </w:r>
          </w:p>
        </w:tc>
      </w:tr>
      <w:tr w:rsidR="002F71E6" w:rsidRPr="00092DB6" w:rsidTr="000D38C7">
        <w:trPr>
          <w:trHeight w:val="597"/>
        </w:trPr>
        <w:tc>
          <w:tcPr>
            <w:tcW w:w="3044"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 xml:space="preserve">FONE Fondo de Compensación </w:t>
            </w:r>
          </w:p>
        </w:tc>
        <w:tc>
          <w:tcPr>
            <w:tcW w:w="1940"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110,321,177.01</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86,677,960.32</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86,120,374.22</w:t>
            </w:r>
          </w:p>
        </w:tc>
      </w:tr>
      <w:tr w:rsidR="002F71E6" w:rsidRPr="00092DB6" w:rsidTr="000D38C7">
        <w:trPr>
          <w:trHeight w:val="412"/>
        </w:trPr>
        <w:tc>
          <w:tcPr>
            <w:tcW w:w="3044" w:type="dxa"/>
          </w:tcPr>
          <w:p w:rsidR="002F71E6" w:rsidRPr="00092DB6" w:rsidRDefault="002F71E6" w:rsidP="000D38C7">
            <w:pPr>
              <w:tabs>
                <w:tab w:val="left" w:pos="1658"/>
              </w:tabs>
              <w:jc w:val="both"/>
              <w:rPr>
                <w:rFonts w:ascii="Century Gothic" w:hAnsi="Century Gothic" w:cs="Arial"/>
                <w:szCs w:val="24"/>
              </w:rPr>
            </w:pPr>
            <w:r w:rsidRPr="00092DB6">
              <w:rPr>
                <w:rFonts w:ascii="Century Gothic" w:hAnsi="Century Gothic" w:cs="Arial"/>
                <w:szCs w:val="24"/>
              </w:rPr>
              <w:t>FONE Gasto de Operación</w:t>
            </w:r>
          </w:p>
        </w:tc>
        <w:tc>
          <w:tcPr>
            <w:tcW w:w="1940"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560,607,063.13</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115,424,828.60</w:t>
            </w:r>
          </w:p>
        </w:tc>
        <w:tc>
          <w:tcPr>
            <w:tcW w:w="2035" w:type="dxa"/>
          </w:tcPr>
          <w:p w:rsidR="002F71E6" w:rsidRPr="00092DB6" w:rsidRDefault="002F71E6" w:rsidP="000D38C7">
            <w:pPr>
              <w:tabs>
                <w:tab w:val="left" w:pos="1658"/>
              </w:tabs>
              <w:jc w:val="right"/>
              <w:rPr>
                <w:rFonts w:ascii="Century Gothic" w:hAnsi="Century Gothic" w:cs="Arial"/>
                <w:szCs w:val="24"/>
              </w:rPr>
            </w:pPr>
            <w:r w:rsidRPr="00092DB6">
              <w:rPr>
                <w:rFonts w:ascii="Century Gothic" w:hAnsi="Century Gothic" w:cs="Arial"/>
                <w:szCs w:val="24"/>
              </w:rPr>
              <w:t>94,852,094.72</w:t>
            </w:r>
          </w:p>
        </w:tc>
      </w:tr>
    </w:tbl>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Fuente: Instituto de Servicios Educativos y Pedagógicos del Estado, Cuenta Pública. </w:t>
      </w:r>
    </w:p>
    <w:p w:rsidR="002F71E6" w:rsidRDefault="002F71E6" w:rsidP="002F71E6">
      <w:pPr>
        <w:tabs>
          <w:tab w:val="left" w:pos="1658"/>
        </w:tabs>
        <w:jc w:val="both"/>
      </w:pPr>
      <w:r w:rsidRPr="00AA7F01">
        <w:rPr>
          <w:rFonts w:ascii="Century Gothic" w:hAnsi="Century Gothic" w:cs="Arial"/>
          <w:sz w:val="24"/>
          <w:szCs w:val="24"/>
        </w:rPr>
        <w:t>El Presupuesto de Egresos autorizado para el ejercicio fi</w:t>
      </w:r>
      <w:r>
        <w:rPr>
          <w:rFonts w:ascii="Century Gothic" w:hAnsi="Century Gothic" w:cs="Arial"/>
          <w:sz w:val="24"/>
          <w:szCs w:val="24"/>
        </w:rPr>
        <w:t>scal al Segundo Trimestre del 2017 al ISEP ascendió a $11,187,613</w:t>
      </w:r>
      <w:r w:rsidRPr="00AA7F01">
        <w:rPr>
          <w:rFonts w:ascii="Century Gothic" w:hAnsi="Century Gothic" w:cs="Arial"/>
          <w:sz w:val="24"/>
          <w:szCs w:val="24"/>
        </w:rPr>
        <w:t>,</w:t>
      </w:r>
      <w:r>
        <w:rPr>
          <w:rFonts w:ascii="Century Gothic" w:hAnsi="Century Gothic" w:cs="Arial"/>
          <w:sz w:val="24"/>
          <w:szCs w:val="24"/>
        </w:rPr>
        <w:t>282</w:t>
      </w:r>
      <w:r w:rsidRPr="00AA7F01">
        <w:rPr>
          <w:rFonts w:ascii="Century Gothic" w:hAnsi="Century Gothic" w:cs="Arial"/>
          <w:sz w:val="24"/>
          <w:szCs w:val="24"/>
        </w:rPr>
        <w:t xml:space="preserve"> y el modificado al mismo periodo fue de </w:t>
      </w:r>
      <w:r w:rsidRPr="00795717">
        <w:rPr>
          <w:rFonts w:ascii="Century Gothic" w:hAnsi="Century Gothic" w:cs="Arial"/>
          <w:sz w:val="24"/>
          <w:szCs w:val="24"/>
        </w:rPr>
        <w:t>11,493,447,860.85</w:t>
      </w:r>
      <w:r>
        <w:rPr>
          <w:rFonts w:ascii="Century Gothic" w:hAnsi="Century Gothic" w:cs="Arial"/>
          <w:sz w:val="24"/>
          <w:szCs w:val="24"/>
        </w:rPr>
        <w:t xml:space="preserve"> </w:t>
      </w:r>
      <w:r w:rsidRPr="00AA7F01">
        <w:rPr>
          <w:rFonts w:ascii="Century Gothic" w:hAnsi="Century Gothic" w:cs="Arial"/>
          <w:sz w:val="24"/>
          <w:szCs w:val="24"/>
        </w:rPr>
        <w:t>es decir, el Instituto no solo ejerce recursos del Fondo; sin embargo el Fondo es su princip</w:t>
      </w:r>
      <w:r>
        <w:rPr>
          <w:rFonts w:ascii="Century Gothic" w:hAnsi="Century Gothic" w:cs="Arial"/>
          <w:sz w:val="24"/>
          <w:szCs w:val="24"/>
        </w:rPr>
        <w:t xml:space="preserve">al fuente de recursos:  </w:t>
      </w:r>
    </w:p>
    <w:tbl>
      <w:tblPr>
        <w:tblStyle w:val="Tablaconcuadrcula"/>
        <w:tblW w:w="9213" w:type="dxa"/>
        <w:tblLook w:val="04A0" w:firstRow="1" w:lastRow="0" w:firstColumn="1" w:lastColumn="0" w:noHBand="0" w:noVBand="1"/>
      </w:tblPr>
      <w:tblGrid>
        <w:gridCol w:w="5055"/>
        <w:gridCol w:w="2328"/>
        <w:gridCol w:w="1830"/>
      </w:tblGrid>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b/>
                <w:sz w:val="24"/>
                <w:szCs w:val="24"/>
              </w:rPr>
            </w:pPr>
            <w:r w:rsidRPr="00795717">
              <w:rPr>
                <w:rFonts w:ascii="Century Gothic" w:hAnsi="Century Gothic" w:cs="Arial"/>
                <w:b/>
                <w:sz w:val="24"/>
                <w:szCs w:val="24"/>
              </w:rPr>
              <w:t>FUENTE DE FINANCIAMIENTO</w:t>
            </w:r>
          </w:p>
        </w:tc>
        <w:tc>
          <w:tcPr>
            <w:tcW w:w="2328" w:type="dxa"/>
            <w:noWrap/>
            <w:vAlign w:val="center"/>
            <w:hideMark/>
          </w:tcPr>
          <w:p w:rsidR="002F71E6" w:rsidRPr="00795717" w:rsidRDefault="002F71E6" w:rsidP="000D38C7">
            <w:pPr>
              <w:tabs>
                <w:tab w:val="left" w:pos="1658"/>
              </w:tabs>
              <w:rPr>
                <w:rFonts w:ascii="Century Gothic" w:hAnsi="Century Gothic" w:cs="Arial"/>
                <w:b/>
                <w:sz w:val="24"/>
                <w:szCs w:val="24"/>
              </w:rPr>
            </w:pPr>
            <w:r w:rsidRPr="00795717">
              <w:rPr>
                <w:rFonts w:ascii="Century Gothic" w:hAnsi="Century Gothic" w:cs="Arial"/>
                <w:b/>
                <w:sz w:val="24"/>
                <w:szCs w:val="24"/>
              </w:rPr>
              <w:t>MODIFICADO ANUAL</w:t>
            </w:r>
          </w:p>
        </w:tc>
        <w:tc>
          <w:tcPr>
            <w:tcW w:w="1830" w:type="dxa"/>
            <w:noWrap/>
            <w:vAlign w:val="center"/>
            <w:hideMark/>
          </w:tcPr>
          <w:p w:rsidR="002F71E6" w:rsidRPr="00795717" w:rsidRDefault="002F71E6" w:rsidP="000D38C7">
            <w:pPr>
              <w:tabs>
                <w:tab w:val="left" w:pos="1658"/>
              </w:tabs>
              <w:rPr>
                <w:rFonts w:ascii="Century Gothic" w:hAnsi="Century Gothic" w:cs="Arial"/>
                <w:b/>
                <w:sz w:val="24"/>
                <w:szCs w:val="24"/>
              </w:rPr>
            </w:pPr>
            <w:r w:rsidRPr="00795717">
              <w:rPr>
                <w:rFonts w:ascii="Century Gothic" w:hAnsi="Century Gothic" w:cs="Arial"/>
                <w:b/>
                <w:sz w:val="24"/>
                <w:szCs w:val="24"/>
              </w:rPr>
              <w:t>PORCENTAJE</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Gasto Corriente</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445,579,196.62</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3.88</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Ingresos Propios</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15,592,000.00</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0.14</w:t>
            </w:r>
          </w:p>
        </w:tc>
      </w:tr>
      <w:tr w:rsidR="002F71E6" w:rsidRPr="00795717" w:rsidTr="000D38C7">
        <w:trPr>
          <w:trHeight w:val="598"/>
        </w:trPr>
        <w:tc>
          <w:tcPr>
            <w:tcW w:w="5055" w:type="dxa"/>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Progr</w:t>
            </w:r>
            <w:r>
              <w:rPr>
                <w:rFonts w:ascii="Century Gothic" w:hAnsi="Century Gothic" w:cs="Arial"/>
                <w:sz w:val="24"/>
                <w:szCs w:val="24"/>
              </w:rPr>
              <w:t>ama</w:t>
            </w:r>
            <w:r w:rsidRPr="00795717">
              <w:rPr>
                <w:rFonts w:ascii="Century Gothic" w:hAnsi="Century Gothic" w:cs="Arial"/>
                <w:sz w:val="24"/>
                <w:szCs w:val="24"/>
              </w:rPr>
              <w:t xml:space="preserve"> Fortalecim</w:t>
            </w:r>
            <w:r>
              <w:rPr>
                <w:rFonts w:ascii="Century Gothic" w:hAnsi="Century Gothic" w:cs="Arial"/>
                <w:sz w:val="24"/>
                <w:szCs w:val="24"/>
              </w:rPr>
              <w:t>iento</w:t>
            </w:r>
            <w:r w:rsidRPr="00795717">
              <w:rPr>
                <w:rFonts w:ascii="Century Gothic" w:hAnsi="Century Gothic" w:cs="Arial"/>
                <w:sz w:val="24"/>
                <w:szCs w:val="24"/>
              </w:rPr>
              <w:t xml:space="preserve"> A La Calidad Educativa Nivel Superior S267</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2,794,493.43</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0.02</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Remanente 2016</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8,454,341.20</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0.07</w:t>
            </w:r>
          </w:p>
        </w:tc>
      </w:tr>
      <w:tr w:rsidR="002F71E6" w:rsidRPr="00795717" w:rsidTr="00CB4749">
        <w:trPr>
          <w:trHeight w:val="299"/>
        </w:trPr>
        <w:tc>
          <w:tcPr>
            <w:tcW w:w="5055" w:type="dxa"/>
            <w:shd w:val="clear" w:color="auto" w:fill="auto"/>
            <w:noWrap/>
            <w:vAlign w:val="center"/>
            <w:hideMark/>
          </w:tcPr>
          <w:p w:rsidR="002F71E6" w:rsidRPr="00CB4749" w:rsidRDefault="002F71E6" w:rsidP="000D38C7">
            <w:pPr>
              <w:tabs>
                <w:tab w:val="left" w:pos="1658"/>
              </w:tabs>
              <w:rPr>
                <w:rFonts w:ascii="Century Gothic" w:hAnsi="Century Gothic" w:cs="Arial"/>
                <w:sz w:val="24"/>
                <w:szCs w:val="24"/>
              </w:rPr>
            </w:pPr>
            <w:r w:rsidRPr="00CB4749">
              <w:rPr>
                <w:rFonts w:ascii="Century Gothic" w:hAnsi="Century Gothic" w:cs="Arial"/>
                <w:sz w:val="24"/>
                <w:szCs w:val="24"/>
              </w:rPr>
              <w:t>FONE Servicios Personales</w:t>
            </w:r>
          </w:p>
        </w:tc>
        <w:tc>
          <w:tcPr>
            <w:tcW w:w="2328"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9,481,569,346.02</w:t>
            </w:r>
          </w:p>
        </w:tc>
        <w:tc>
          <w:tcPr>
            <w:tcW w:w="1830"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82.50</w:t>
            </w:r>
          </w:p>
        </w:tc>
      </w:tr>
      <w:tr w:rsidR="002F71E6" w:rsidRPr="00795717" w:rsidTr="00CB4749">
        <w:trPr>
          <w:trHeight w:val="299"/>
        </w:trPr>
        <w:tc>
          <w:tcPr>
            <w:tcW w:w="5055" w:type="dxa"/>
            <w:shd w:val="clear" w:color="auto" w:fill="auto"/>
            <w:noWrap/>
            <w:vAlign w:val="center"/>
            <w:hideMark/>
          </w:tcPr>
          <w:p w:rsidR="002F71E6" w:rsidRPr="00CB4749" w:rsidRDefault="002F71E6" w:rsidP="000D38C7">
            <w:pPr>
              <w:tabs>
                <w:tab w:val="left" w:pos="1658"/>
              </w:tabs>
              <w:rPr>
                <w:rFonts w:ascii="Century Gothic" w:hAnsi="Century Gothic" w:cs="Arial"/>
                <w:sz w:val="24"/>
                <w:szCs w:val="24"/>
              </w:rPr>
            </w:pPr>
            <w:r w:rsidRPr="00CB4749">
              <w:rPr>
                <w:rFonts w:ascii="Century Gothic" w:hAnsi="Century Gothic" w:cs="Arial"/>
                <w:sz w:val="24"/>
                <w:szCs w:val="24"/>
              </w:rPr>
              <w:t>FONE Fondo De Compensación</w:t>
            </w:r>
          </w:p>
        </w:tc>
        <w:tc>
          <w:tcPr>
            <w:tcW w:w="2328"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199,356,530.98</w:t>
            </w:r>
          </w:p>
        </w:tc>
        <w:tc>
          <w:tcPr>
            <w:tcW w:w="1830"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1.73</w:t>
            </w:r>
          </w:p>
        </w:tc>
      </w:tr>
      <w:tr w:rsidR="002F71E6" w:rsidRPr="00795717" w:rsidTr="00CB4749">
        <w:trPr>
          <w:trHeight w:val="299"/>
        </w:trPr>
        <w:tc>
          <w:tcPr>
            <w:tcW w:w="5055" w:type="dxa"/>
            <w:shd w:val="clear" w:color="auto" w:fill="auto"/>
            <w:noWrap/>
            <w:vAlign w:val="center"/>
            <w:hideMark/>
          </w:tcPr>
          <w:p w:rsidR="002F71E6" w:rsidRPr="00CB4749" w:rsidRDefault="002F71E6" w:rsidP="000D38C7">
            <w:pPr>
              <w:tabs>
                <w:tab w:val="left" w:pos="1658"/>
              </w:tabs>
              <w:rPr>
                <w:rFonts w:ascii="Century Gothic" w:hAnsi="Century Gothic" w:cs="Arial"/>
                <w:sz w:val="24"/>
                <w:szCs w:val="24"/>
              </w:rPr>
            </w:pPr>
            <w:r w:rsidRPr="00CB4749">
              <w:rPr>
                <w:rFonts w:ascii="Century Gothic" w:hAnsi="Century Gothic" w:cs="Arial"/>
                <w:sz w:val="24"/>
                <w:szCs w:val="24"/>
              </w:rPr>
              <w:t>FONE Gastos De Operación</w:t>
            </w:r>
          </w:p>
        </w:tc>
        <w:tc>
          <w:tcPr>
            <w:tcW w:w="2328"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1,043,648,899.10</w:t>
            </w:r>
          </w:p>
        </w:tc>
        <w:tc>
          <w:tcPr>
            <w:tcW w:w="1830" w:type="dxa"/>
            <w:shd w:val="clear" w:color="auto" w:fill="auto"/>
            <w:noWrap/>
            <w:vAlign w:val="center"/>
            <w:hideMark/>
          </w:tcPr>
          <w:p w:rsidR="002F71E6" w:rsidRPr="00CB4749" w:rsidRDefault="002F71E6" w:rsidP="000D38C7">
            <w:pPr>
              <w:tabs>
                <w:tab w:val="left" w:pos="1658"/>
              </w:tabs>
              <w:jc w:val="right"/>
              <w:rPr>
                <w:rFonts w:ascii="Century Gothic" w:hAnsi="Century Gothic" w:cs="Arial"/>
                <w:sz w:val="24"/>
                <w:szCs w:val="24"/>
              </w:rPr>
            </w:pPr>
            <w:r w:rsidRPr="00CB4749">
              <w:rPr>
                <w:rFonts w:ascii="Century Gothic" w:hAnsi="Century Gothic" w:cs="Arial"/>
                <w:sz w:val="24"/>
                <w:szCs w:val="24"/>
              </w:rPr>
              <w:t>9.08</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Programa Escuelas De Tiempo Completo</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296,453,053.50</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2.58</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proofErr w:type="spellStart"/>
            <w:r w:rsidRPr="00795717">
              <w:rPr>
                <w:rFonts w:ascii="Century Gothic" w:hAnsi="Century Gothic" w:cs="Arial"/>
                <w:sz w:val="24"/>
                <w:szCs w:val="24"/>
              </w:rPr>
              <w:t>Bapiss</w:t>
            </w:r>
            <w:proofErr w:type="spellEnd"/>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r w:rsidRPr="00795717">
              <w:rPr>
                <w:rFonts w:ascii="Century Gothic" w:hAnsi="Century Gothic" w:cs="Arial"/>
                <w:sz w:val="24"/>
                <w:szCs w:val="24"/>
              </w:rPr>
              <w:t>Programa Nacional De Convivencia Escolar</w:t>
            </w: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w:t>
            </w:r>
          </w:p>
        </w:tc>
      </w:tr>
      <w:tr w:rsidR="002F71E6" w:rsidRPr="00795717" w:rsidTr="000D38C7">
        <w:trPr>
          <w:trHeight w:val="299"/>
        </w:trPr>
        <w:tc>
          <w:tcPr>
            <w:tcW w:w="5055" w:type="dxa"/>
            <w:noWrap/>
            <w:vAlign w:val="center"/>
            <w:hideMark/>
          </w:tcPr>
          <w:p w:rsidR="002F71E6" w:rsidRPr="00795717" w:rsidRDefault="002F71E6" w:rsidP="000D38C7">
            <w:pPr>
              <w:tabs>
                <w:tab w:val="left" w:pos="1658"/>
              </w:tabs>
              <w:rPr>
                <w:rFonts w:ascii="Century Gothic" w:hAnsi="Century Gothic" w:cs="Arial"/>
                <w:sz w:val="24"/>
                <w:szCs w:val="24"/>
              </w:rPr>
            </w:pPr>
          </w:p>
        </w:tc>
        <w:tc>
          <w:tcPr>
            <w:tcW w:w="2328"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11,493,447,860.85</w:t>
            </w:r>
          </w:p>
        </w:tc>
        <w:tc>
          <w:tcPr>
            <w:tcW w:w="1830" w:type="dxa"/>
            <w:noWrap/>
            <w:vAlign w:val="center"/>
            <w:hideMark/>
          </w:tcPr>
          <w:p w:rsidR="002F71E6" w:rsidRPr="00795717" w:rsidRDefault="002F71E6" w:rsidP="000D38C7">
            <w:pPr>
              <w:tabs>
                <w:tab w:val="left" w:pos="1658"/>
              </w:tabs>
              <w:jc w:val="right"/>
              <w:rPr>
                <w:rFonts w:ascii="Century Gothic" w:hAnsi="Century Gothic" w:cs="Arial"/>
                <w:sz w:val="24"/>
                <w:szCs w:val="24"/>
              </w:rPr>
            </w:pPr>
            <w:r w:rsidRPr="00795717">
              <w:rPr>
                <w:rFonts w:ascii="Century Gothic" w:hAnsi="Century Gothic" w:cs="Arial"/>
                <w:sz w:val="24"/>
                <w:szCs w:val="24"/>
              </w:rPr>
              <w:t>100.00</w:t>
            </w:r>
          </w:p>
        </w:tc>
      </w:tr>
    </w:tbl>
    <w:p w:rsidR="002F71E6" w:rsidRPr="00646919" w:rsidRDefault="002F71E6" w:rsidP="002F71E6">
      <w:pPr>
        <w:tabs>
          <w:tab w:val="left" w:pos="1658"/>
        </w:tabs>
        <w:jc w:val="both"/>
        <w:rPr>
          <w:rFonts w:ascii="Century Gothic" w:hAnsi="Century Gothic" w:cs="Arial"/>
          <w:sz w:val="20"/>
          <w:szCs w:val="24"/>
        </w:rPr>
      </w:pPr>
      <w:r w:rsidRPr="00646919">
        <w:rPr>
          <w:rFonts w:ascii="Century Gothic" w:hAnsi="Century Gothic" w:cs="Arial"/>
          <w:sz w:val="20"/>
          <w:szCs w:val="24"/>
        </w:rPr>
        <w:t xml:space="preserve">Fuente: Sistema de Evaluación del Desempeño, Seguimiento Programático-Presupuestal Mensual (ABRIL)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Como se puede observar los recursos del Fondo representan el porcentaje más alto de la totalidad de los ingresos que percibe el Instituto, por esto se </w:t>
      </w:r>
      <w:r>
        <w:rPr>
          <w:rFonts w:ascii="Century Gothic" w:hAnsi="Century Gothic" w:cs="Arial"/>
          <w:sz w:val="24"/>
          <w:szCs w:val="24"/>
        </w:rPr>
        <w:lastRenderedPageBreak/>
        <w:t xml:space="preserve">concluye, que el Instituto depende totalmente de los recursos de este Fondo para su operación.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El Instituto no administra los recursos directamente, sino que por medio de un sistema informático remite la nómina a la Secretaria de Educación Pública para que se realice el pago a los empleados. </w:t>
      </w:r>
    </w:p>
    <w:p w:rsidR="002F71E6" w:rsidRDefault="002F71E6" w:rsidP="002F71E6">
      <w:pPr>
        <w:tabs>
          <w:tab w:val="left" w:pos="1658"/>
        </w:tabs>
        <w:jc w:val="both"/>
        <w:rPr>
          <w:rFonts w:ascii="Century Gothic" w:hAnsi="Century Gothic" w:cs="Arial"/>
          <w:sz w:val="24"/>
          <w:szCs w:val="24"/>
        </w:rPr>
      </w:pPr>
    </w:p>
    <w:p w:rsidR="002F71E6" w:rsidRPr="007B0C4C" w:rsidRDefault="002F71E6" w:rsidP="002F71E6">
      <w:pPr>
        <w:tabs>
          <w:tab w:val="left" w:pos="1658"/>
        </w:tabs>
        <w:jc w:val="both"/>
        <w:rPr>
          <w:rFonts w:ascii="Century Gothic" w:hAnsi="Century Gothic" w:cs="Arial"/>
          <w:b/>
          <w:sz w:val="28"/>
          <w:szCs w:val="24"/>
        </w:rPr>
      </w:pPr>
      <w:r w:rsidRPr="007B0C4C">
        <w:rPr>
          <w:rFonts w:ascii="Century Gothic" w:hAnsi="Century Gothic" w:cs="Arial"/>
          <w:b/>
          <w:sz w:val="28"/>
          <w:szCs w:val="24"/>
        </w:rPr>
        <w:t>4.- Análisis de la Cobertura</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Partiendo de que a través del Fondo de Aportaciones para la nómina Educativa y el Gasto Operativo, la Federación Canaliza los recursos a las Entidades Federativas para brindar a cada uno de los niños y niñas que así lo soliciten un espacio para recibir educación en los 3 niveles educativos: preescolar (3 a 5 años), primaria (6 a 11 años) y en secundaria (12 a 14 años); se  infiere que la focalización de la problemática atender es compleja y mayúscula. Considerando los datos proporcionados por INEGI en su página de internet en Baja California la población total es de 3</w:t>
      </w:r>
      <w:proofErr w:type="gramStart"/>
      <w:r>
        <w:rPr>
          <w:rFonts w:ascii="Century Gothic" w:hAnsi="Century Gothic" w:cs="Arial"/>
          <w:sz w:val="24"/>
          <w:szCs w:val="24"/>
        </w:rPr>
        <w:t>,348,898</w:t>
      </w:r>
      <w:proofErr w:type="gramEnd"/>
      <w:r>
        <w:rPr>
          <w:rFonts w:ascii="Century Gothic" w:hAnsi="Century Gothic" w:cs="Arial"/>
          <w:sz w:val="24"/>
          <w:szCs w:val="24"/>
        </w:rPr>
        <w:t xml:space="preserve"> personas.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De las cuáles, 616,1987 son niños y niñas de 5 a 14 años, que representan el 18.4% de la población en la entidad. </w:t>
      </w:r>
    </w:p>
    <w:p w:rsidR="002F71E6" w:rsidRPr="00D2088D" w:rsidRDefault="002F71E6" w:rsidP="002F71E6">
      <w:pPr>
        <w:pStyle w:val="Prrafodelista"/>
        <w:numPr>
          <w:ilvl w:val="0"/>
          <w:numId w:val="10"/>
        </w:numPr>
        <w:tabs>
          <w:tab w:val="left" w:pos="1658"/>
        </w:tabs>
        <w:spacing w:line="360" w:lineRule="auto"/>
        <w:jc w:val="both"/>
        <w:rPr>
          <w:rFonts w:ascii="Century Gothic" w:hAnsi="Century Gothic" w:cs="Arial"/>
          <w:b/>
          <w:sz w:val="24"/>
          <w:szCs w:val="24"/>
        </w:rPr>
      </w:pPr>
      <w:r w:rsidRPr="00D2088D">
        <w:rPr>
          <w:rFonts w:ascii="Century Gothic" w:hAnsi="Century Gothic" w:cs="Arial"/>
          <w:sz w:val="24"/>
          <w:szCs w:val="24"/>
        </w:rPr>
        <w:t>Población de 5 a 9 años</w:t>
      </w:r>
      <w:r w:rsidRPr="00D2088D">
        <w:rPr>
          <w:rFonts w:ascii="Century Gothic" w:hAnsi="Century Gothic" w:cs="Arial"/>
          <w:b/>
          <w:sz w:val="24"/>
          <w:szCs w:val="24"/>
        </w:rPr>
        <w:t xml:space="preserve"> 304,750 </w:t>
      </w:r>
    </w:p>
    <w:p w:rsidR="002F71E6" w:rsidRPr="00D2088D" w:rsidRDefault="002F71E6" w:rsidP="002F71E6">
      <w:pPr>
        <w:pStyle w:val="Prrafodelista"/>
        <w:numPr>
          <w:ilvl w:val="0"/>
          <w:numId w:val="10"/>
        </w:numPr>
        <w:tabs>
          <w:tab w:val="left" w:pos="1658"/>
        </w:tabs>
        <w:spacing w:line="360" w:lineRule="auto"/>
        <w:jc w:val="both"/>
        <w:rPr>
          <w:rFonts w:ascii="Century Gothic" w:hAnsi="Century Gothic" w:cs="Arial"/>
          <w:b/>
          <w:sz w:val="24"/>
          <w:szCs w:val="24"/>
        </w:rPr>
      </w:pPr>
      <w:r w:rsidRPr="00D2088D">
        <w:rPr>
          <w:rFonts w:ascii="Century Gothic" w:hAnsi="Century Gothic" w:cs="Arial"/>
          <w:sz w:val="24"/>
          <w:szCs w:val="24"/>
        </w:rPr>
        <w:t>Población de 10  a 14 años</w:t>
      </w:r>
      <w:r w:rsidRPr="00D2088D">
        <w:rPr>
          <w:rFonts w:ascii="Century Gothic" w:hAnsi="Century Gothic" w:cs="Arial"/>
          <w:b/>
          <w:sz w:val="24"/>
          <w:szCs w:val="24"/>
        </w:rPr>
        <w:t xml:space="preserve">  311,447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Nuestro sistema educativo es complejo considerando, por un lado  su estructura demográfica, es decir, según su volumen, crecimiento y características encontramos toda una serie de situaciones sociales geográficas, y por otro la limitante de los propios recursos del Fondo.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El Instituto de Servicios Educativos y Pedagógicos del Estado,  presenta las principales cifras estadísticas, del ciclo escolar  anualmente, cabe destacar que estas cifras aún no han sido reportadas para el ciclo escolar 2017-2018, por lo tanto a continuación se muestra un pronóstico de Matricula en Educación ciclo 2017-2018. </w:t>
      </w:r>
    </w:p>
    <w:p w:rsidR="002F71E6" w:rsidRDefault="002F71E6" w:rsidP="002F71E6">
      <w:pPr>
        <w:tabs>
          <w:tab w:val="left" w:pos="1658"/>
        </w:tabs>
        <w:jc w:val="both"/>
        <w:rPr>
          <w:rFonts w:ascii="Century Gothic" w:hAnsi="Century Gothic" w:cs="Arial"/>
          <w:sz w:val="24"/>
          <w:szCs w:val="24"/>
        </w:rPr>
      </w:pPr>
    </w:p>
    <w:p w:rsidR="002F71E6" w:rsidRPr="007E3A4C" w:rsidRDefault="002F71E6" w:rsidP="002F71E6">
      <w:pPr>
        <w:tabs>
          <w:tab w:val="left" w:pos="1658"/>
        </w:tabs>
        <w:jc w:val="center"/>
        <w:rPr>
          <w:rFonts w:ascii="Century Gothic" w:hAnsi="Century Gothic" w:cs="Arial"/>
          <w:b/>
          <w:sz w:val="24"/>
          <w:szCs w:val="24"/>
        </w:rPr>
      </w:pPr>
      <w:r w:rsidRPr="007E3A4C">
        <w:rPr>
          <w:rFonts w:ascii="Century Gothic" w:hAnsi="Century Gothic" w:cs="Arial"/>
          <w:b/>
          <w:sz w:val="24"/>
          <w:szCs w:val="24"/>
        </w:rPr>
        <w:lastRenderedPageBreak/>
        <w:t xml:space="preserve">Pronóstico de Matricula en los niveles de preescolar, primaria y secundaria </w:t>
      </w:r>
      <w:r>
        <w:rPr>
          <w:rFonts w:ascii="Century Gothic" w:hAnsi="Century Gothic" w:cs="Arial"/>
          <w:b/>
          <w:sz w:val="24"/>
          <w:szCs w:val="24"/>
        </w:rPr>
        <w:t>2017-2018</w:t>
      </w:r>
    </w:p>
    <w:p w:rsidR="002F71E6" w:rsidRDefault="002F71E6" w:rsidP="002F71E6">
      <w:pPr>
        <w:tabs>
          <w:tab w:val="left" w:pos="1658"/>
        </w:tabs>
        <w:jc w:val="center"/>
        <w:rPr>
          <w:rFonts w:ascii="Century Gothic" w:hAnsi="Century Gothic" w:cs="Arial"/>
          <w:sz w:val="24"/>
          <w:szCs w:val="24"/>
        </w:rPr>
      </w:pPr>
      <w:r>
        <w:rPr>
          <w:rFonts w:ascii="Century Gothic" w:hAnsi="Century Gothic" w:cs="Arial"/>
          <w:noProof/>
          <w:sz w:val="24"/>
          <w:szCs w:val="24"/>
          <w:lang w:val="es-ES" w:eastAsia="es-ES"/>
        </w:rPr>
        <w:drawing>
          <wp:inline distT="0" distB="0" distL="0" distR="0">
            <wp:extent cx="5486400" cy="32004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Fuente: Principales cifras estadísticas, Pronósticos de matrícula. </w:t>
      </w:r>
      <w:hyperlink r:id="rId20" w:history="1">
        <w:r w:rsidRPr="00DD3AD1">
          <w:rPr>
            <w:rStyle w:val="Hipervnculo"/>
            <w:rFonts w:ascii="Century Gothic" w:hAnsi="Century Gothic" w:cs="Arial"/>
            <w:sz w:val="24"/>
            <w:szCs w:val="24"/>
          </w:rPr>
          <w:t>http://www.educacionbc.edu.mx/publicaciones/estadisticas/2017/index.html</w:t>
        </w:r>
      </w:hyperlink>
      <w:r>
        <w:rPr>
          <w:rFonts w:ascii="Century Gothic" w:hAnsi="Century Gothic" w:cs="Arial"/>
          <w:sz w:val="24"/>
          <w:szCs w:val="24"/>
        </w:rPr>
        <w:t xml:space="preserve">  </w:t>
      </w:r>
    </w:p>
    <w:p w:rsidR="002F71E6" w:rsidRDefault="002F71E6" w:rsidP="002F71E6">
      <w:pPr>
        <w:tabs>
          <w:tab w:val="left" w:pos="1658"/>
        </w:tabs>
        <w:jc w:val="center"/>
        <w:rPr>
          <w:rFonts w:ascii="Century Gothic" w:hAnsi="Century Gothic" w:cs="Arial"/>
          <w:sz w:val="24"/>
          <w:szCs w:val="24"/>
        </w:rPr>
      </w:pPr>
    </w:p>
    <w:p w:rsidR="002F71E6" w:rsidRDefault="002F71E6" w:rsidP="002F71E6">
      <w:pPr>
        <w:tabs>
          <w:tab w:val="left" w:pos="1658"/>
        </w:tabs>
        <w:jc w:val="center"/>
        <w:rPr>
          <w:rFonts w:ascii="Century Gothic" w:hAnsi="Century Gothic" w:cs="Arial"/>
          <w:sz w:val="24"/>
          <w:szCs w:val="24"/>
        </w:rPr>
      </w:pPr>
    </w:p>
    <w:p w:rsidR="002F71E6" w:rsidRDefault="002F71E6" w:rsidP="002F71E6">
      <w:pPr>
        <w:tabs>
          <w:tab w:val="left" w:pos="1658"/>
        </w:tabs>
        <w:jc w:val="center"/>
        <w:rPr>
          <w:rFonts w:ascii="Century Gothic" w:hAnsi="Century Gothic" w:cs="Arial"/>
          <w:sz w:val="24"/>
          <w:szCs w:val="24"/>
        </w:rPr>
      </w:pPr>
    </w:p>
    <w:p w:rsidR="002F71E6" w:rsidRDefault="002F71E6"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93724E" w:rsidRDefault="0093724E" w:rsidP="002F71E6">
      <w:pPr>
        <w:tabs>
          <w:tab w:val="left" w:pos="1658"/>
        </w:tabs>
        <w:jc w:val="center"/>
        <w:rPr>
          <w:rFonts w:ascii="Century Gothic" w:hAnsi="Century Gothic" w:cs="Arial"/>
          <w:sz w:val="24"/>
          <w:szCs w:val="24"/>
        </w:rPr>
      </w:pPr>
    </w:p>
    <w:p w:rsidR="002F71E6" w:rsidRDefault="002F71E6" w:rsidP="002F71E6">
      <w:pPr>
        <w:tabs>
          <w:tab w:val="left" w:pos="1658"/>
        </w:tabs>
        <w:jc w:val="center"/>
        <w:rPr>
          <w:rFonts w:ascii="Century Gothic" w:hAnsi="Century Gothic" w:cs="Arial"/>
          <w:b/>
          <w:sz w:val="24"/>
          <w:szCs w:val="24"/>
        </w:rPr>
      </w:pPr>
      <w:r w:rsidRPr="007E3A4C">
        <w:rPr>
          <w:rFonts w:ascii="Century Gothic" w:hAnsi="Century Gothic" w:cs="Arial"/>
          <w:b/>
          <w:sz w:val="24"/>
          <w:szCs w:val="24"/>
        </w:rPr>
        <w:lastRenderedPageBreak/>
        <w:t xml:space="preserve">Comportamiento de la matrícula 2016-2017 vs 2017-2018 </w:t>
      </w:r>
    </w:p>
    <w:p w:rsidR="002F71E6" w:rsidRDefault="002F71E6" w:rsidP="002F71E6">
      <w:pPr>
        <w:tabs>
          <w:tab w:val="left" w:pos="1658"/>
        </w:tabs>
        <w:jc w:val="center"/>
        <w:rPr>
          <w:rFonts w:ascii="Century Gothic" w:hAnsi="Century Gothic" w:cs="Arial"/>
          <w:b/>
          <w:sz w:val="24"/>
          <w:szCs w:val="24"/>
        </w:rPr>
      </w:pPr>
    </w:p>
    <w:p w:rsidR="002F71E6" w:rsidRPr="007E3A4C" w:rsidRDefault="002F71E6" w:rsidP="002F71E6">
      <w:pPr>
        <w:tabs>
          <w:tab w:val="left" w:pos="1658"/>
        </w:tabs>
        <w:jc w:val="center"/>
        <w:rPr>
          <w:rFonts w:ascii="Century Gothic" w:hAnsi="Century Gothic" w:cs="Arial"/>
          <w:b/>
          <w:sz w:val="24"/>
          <w:szCs w:val="24"/>
        </w:rPr>
      </w:pPr>
      <w:r>
        <w:rPr>
          <w:rFonts w:ascii="Century Gothic" w:hAnsi="Century Gothic" w:cs="Arial"/>
          <w:b/>
          <w:noProof/>
          <w:sz w:val="24"/>
          <w:szCs w:val="24"/>
          <w:lang w:val="es-ES" w:eastAsia="es-ES"/>
        </w:rPr>
        <w:drawing>
          <wp:inline distT="0" distB="0" distL="0" distR="0">
            <wp:extent cx="5486400" cy="32004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Fuente: Principales cifras estadísticas, Pronósticos de matrícula. </w:t>
      </w:r>
      <w:hyperlink r:id="rId22" w:history="1">
        <w:r w:rsidRPr="00DD3AD1">
          <w:rPr>
            <w:rStyle w:val="Hipervnculo"/>
            <w:rFonts w:ascii="Century Gothic" w:hAnsi="Century Gothic" w:cs="Arial"/>
            <w:sz w:val="24"/>
            <w:szCs w:val="24"/>
          </w:rPr>
          <w:t>http://www.educacionbc.edu.mx/publicaciones/estadisticas/2017/index.html</w:t>
        </w:r>
      </w:hyperlink>
      <w:r>
        <w:rPr>
          <w:rFonts w:ascii="Century Gothic" w:hAnsi="Century Gothic" w:cs="Arial"/>
          <w:sz w:val="24"/>
          <w:szCs w:val="24"/>
        </w:rPr>
        <w:t xml:space="preserve">  </w:t>
      </w:r>
    </w:p>
    <w:p w:rsidR="002F71E6" w:rsidRDefault="002F71E6" w:rsidP="002F71E6">
      <w:pPr>
        <w:tabs>
          <w:tab w:val="left" w:pos="1658"/>
        </w:tabs>
        <w:jc w:val="both"/>
        <w:rPr>
          <w:rFonts w:ascii="Century Gothic" w:hAnsi="Century Gothic" w:cs="Arial"/>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2F71E6" w:rsidTr="000D38C7">
        <w:tc>
          <w:tcPr>
            <w:tcW w:w="2244" w:type="dxa"/>
          </w:tcPr>
          <w:p w:rsidR="002F71E6" w:rsidRDefault="002F71E6" w:rsidP="000D38C7">
            <w:pPr>
              <w:tabs>
                <w:tab w:val="left" w:pos="1658"/>
              </w:tabs>
              <w:jc w:val="both"/>
              <w:rPr>
                <w:rFonts w:ascii="Century Gothic" w:hAnsi="Century Gothic" w:cs="Arial"/>
                <w:sz w:val="24"/>
                <w:szCs w:val="24"/>
              </w:rPr>
            </w:pPr>
          </w:p>
        </w:tc>
        <w:tc>
          <w:tcPr>
            <w:tcW w:w="2244"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2016</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2017</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Diferencia</w:t>
            </w:r>
          </w:p>
        </w:tc>
      </w:tr>
      <w:tr w:rsidR="002F71E6" w:rsidTr="000D38C7">
        <w:tc>
          <w:tcPr>
            <w:tcW w:w="2244" w:type="dxa"/>
          </w:tcPr>
          <w:p w:rsidR="002F71E6" w:rsidRDefault="002F71E6" w:rsidP="000D38C7">
            <w:pPr>
              <w:tabs>
                <w:tab w:val="left" w:pos="1658"/>
              </w:tabs>
              <w:jc w:val="both"/>
              <w:rPr>
                <w:rFonts w:ascii="Century Gothic" w:hAnsi="Century Gothic" w:cs="Arial"/>
                <w:sz w:val="24"/>
                <w:szCs w:val="24"/>
              </w:rPr>
            </w:pPr>
            <w:r>
              <w:rPr>
                <w:rFonts w:ascii="Century Gothic" w:hAnsi="Century Gothic" w:cs="Arial"/>
                <w:sz w:val="24"/>
                <w:szCs w:val="24"/>
              </w:rPr>
              <w:t>Preescolar</w:t>
            </w:r>
          </w:p>
        </w:tc>
        <w:tc>
          <w:tcPr>
            <w:tcW w:w="2244"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107,233</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113,707</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6.03%</w:t>
            </w:r>
          </w:p>
        </w:tc>
      </w:tr>
      <w:tr w:rsidR="002F71E6" w:rsidTr="000D38C7">
        <w:tc>
          <w:tcPr>
            <w:tcW w:w="2244" w:type="dxa"/>
          </w:tcPr>
          <w:p w:rsidR="002F71E6" w:rsidRDefault="002F71E6" w:rsidP="000D38C7">
            <w:pPr>
              <w:tabs>
                <w:tab w:val="left" w:pos="1658"/>
              </w:tabs>
              <w:jc w:val="both"/>
              <w:rPr>
                <w:rFonts w:ascii="Century Gothic" w:hAnsi="Century Gothic" w:cs="Arial"/>
                <w:sz w:val="24"/>
                <w:szCs w:val="24"/>
              </w:rPr>
            </w:pPr>
            <w:r>
              <w:rPr>
                <w:rFonts w:ascii="Century Gothic" w:hAnsi="Century Gothic" w:cs="Arial"/>
                <w:sz w:val="24"/>
                <w:szCs w:val="24"/>
              </w:rPr>
              <w:t>Primaria</w:t>
            </w:r>
          </w:p>
        </w:tc>
        <w:tc>
          <w:tcPr>
            <w:tcW w:w="2244"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387,720</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391,875</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1.07%</w:t>
            </w:r>
          </w:p>
        </w:tc>
      </w:tr>
      <w:tr w:rsidR="002F71E6" w:rsidRPr="00E00129" w:rsidTr="000D38C7">
        <w:trPr>
          <w:trHeight w:val="77"/>
        </w:trPr>
        <w:tc>
          <w:tcPr>
            <w:tcW w:w="2244" w:type="dxa"/>
          </w:tcPr>
          <w:p w:rsidR="002F71E6" w:rsidRDefault="002F71E6" w:rsidP="000D38C7">
            <w:pPr>
              <w:tabs>
                <w:tab w:val="left" w:pos="1658"/>
              </w:tabs>
              <w:jc w:val="both"/>
              <w:rPr>
                <w:rFonts w:ascii="Century Gothic" w:hAnsi="Century Gothic" w:cs="Arial"/>
                <w:sz w:val="24"/>
                <w:szCs w:val="24"/>
              </w:rPr>
            </w:pPr>
            <w:r>
              <w:rPr>
                <w:rFonts w:ascii="Century Gothic" w:hAnsi="Century Gothic" w:cs="Arial"/>
                <w:sz w:val="24"/>
                <w:szCs w:val="24"/>
              </w:rPr>
              <w:t>Secundaria</w:t>
            </w:r>
          </w:p>
        </w:tc>
        <w:tc>
          <w:tcPr>
            <w:tcW w:w="2244"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199,307</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182,189</w:t>
            </w:r>
          </w:p>
        </w:tc>
        <w:tc>
          <w:tcPr>
            <w:tcW w:w="2245" w:type="dxa"/>
          </w:tcPr>
          <w:p w:rsidR="002F71E6" w:rsidRPr="00E00129" w:rsidRDefault="002F71E6" w:rsidP="000D38C7">
            <w:pPr>
              <w:tabs>
                <w:tab w:val="left" w:pos="1658"/>
              </w:tabs>
              <w:jc w:val="center"/>
              <w:rPr>
                <w:rFonts w:ascii="Century Gothic" w:hAnsi="Century Gothic" w:cs="Arial"/>
                <w:color w:val="FF0000"/>
                <w:sz w:val="24"/>
                <w:szCs w:val="24"/>
              </w:rPr>
            </w:pPr>
            <w:r w:rsidRPr="00E00129">
              <w:rPr>
                <w:rFonts w:ascii="Century Gothic" w:hAnsi="Century Gothic" w:cs="Arial"/>
                <w:color w:val="FF0000"/>
                <w:sz w:val="24"/>
                <w:szCs w:val="24"/>
              </w:rPr>
              <w:t>-8.58%</w:t>
            </w:r>
          </w:p>
        </w:tc>
      </w:tr>
      <w:tr w:rsidR="002F71E6" w:rsidRPr="00E00129" w:rsidTr="000D38C7">
        <w:trPr>
          <w:trHeight w:val="77"/>
        </w:trPr>
        <w:tc>
          <w:tcPr>
            <w:tcW w:w="2244" w:type="dxa"/>
          </w:tcPr>
          <w:p w:rsidR="002F71E6" w:rsidRDefault="002F71E6" w:rsidP="000D38C7">
            <w:pPr>
              <w:tabs>
                <w:tab w:val="left" w:pos="1658"/>
              </w:tabs>
              <w:jc w:val="both"/>
              <w:rPr>
                <w:rFonts w:ascii="Century Gothic" w:hAnsi="Century Gothic" w:cs="Arial"/>
                <w:sz w:val="24"/>
                <w:szCs w:val="24"/>
              </w:rPr>
            </w:pPr>
            <w:r>
              <w:rPr>
                <w:rFonts w:ascii="Century Gothic" w:hAnsi="Century Gothic" w:cs="Arial"/>
                <w:sz w:val="24"/>
                <w:szCs w:val="24"/>
              </w:rPr>
              <w:t xml:space="preserve">Total </w:t>
            </w:r>
          </w:p>
        </w:tc>
        <w:tc>
          <w:tcPr>
            <w:tcW w:w="2244"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694,260</w:t>
            </w:r>
          </w:p>
        </w:tc>
        <w:tc>
          <w:tcPr>
            <w:tcW w:w="2245" w:type="dxa"/>
          </w:tcPr>
          <w:p w:rsidR="002F71E6" w:rsidRDefault="002F71E6" w:rsidP="000D38C7">
            <w:pPr>
              <w:tabs>
                <w:tab w:val="left" w:pos="1658"/>
              </w:tabs>
              <w:jc w:val="center"/>
              <w:rPr>
                <w:rFonts w:ascii="Century Gothic" w:hAnsi="Century Gothic" w:cs="Arial"/>
                <w:sz w:val="24"/>
                <w:szCs w:val="24"/>
              </w:rPr>
            </w:pPr>
            <w:r>
              <w:rPr>
                <w:rFonts w:ascii="Century Gothic" w:hAnsi="Century Gothic" w:cs="Arial"/>
                <w:sz w:val="24"/>
                <w:szCs w:val="24"/>
              </w:rPr>
              <w:t>687,771</w:t>
            </w:r>
          </w:p>
        </w:tc>
        <w:tc>
          <w:tcPr>
            <w:tcW w:w="2245" w:type="dxa"/>
          </w:tcPr>
          <w:p w:rsidR="002F71E6" w:rsidRPr="00E00129" w:rsidRDefault="002F71E6" w:rsidP="000D38C7">
            <w:pPr>
              <w:tabs>
                <w:tab w:val="left" w:pos="1658"/>
              </w:tabs>
              <w:jc w:val="center"/>
              <w:rPr>
                <w:rFonts w:ascii="Century Gothic" w:hAnsi="Century Gothic" w:cs="Arial"/>
                <w:color w:val="FF0000"/>
                <w:sz w:val="24"/>
                <w:szCs w:val="24"/>
              </w:rPr>
            </w:pPr>
            <w:r>
              <w:rPr>
                <w:rFonts w:ascii="Century Gothic" w:hAnsi="Century Gothic" w:cs="Arial"/>
                <w:color w:val="FF0000"/>
                <w:sz w:val="24"/>
                <w:szCs w:val="24"/>
              </w:rPr>
              <w:t>-0.93%</w:t>
            </w:r>
          </w:p>
        </w:tc>
      </w:tr>
    </w:tbl>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Fuente: Elaboración propia.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Según el pronóstico proporcionado por las Principales Cifras Estadísticas que arroja el Sistema Educativo Estatal, muestran que el habrá un crecimiento considerable en los niveles preescolar y primaria, mientras que para el nivel de secundaria se prevé una reducción del 8.58%. </w:t>
      </w:r>
    </w:p>
    <w:p w:rsidR="002F71E6" w:rsidRDefault="002F71E6" w:rsidP="002F71E6">
      <w:pPr>
        <w:tabs>
          <w:tab w:val="left" w:pos="1658"/>
        </w:tabs>
        <w:jc w:val="both"/>
        <w:rPr>
          <w:rFonts w:ascii="Century Gothic" w:hAnsi="Century Gothic" w:cs="Arial"/>
          <w:sz w:val="24"/>
          <w:szCs w:val="24"/>
        </w:rPr>
      </w:pPr>
    </w:p>
    <w:p w:rsidR="0093724E" w:rsidRDefault="0093724E" w:rsidP="002F71E6">
      <w:pPr>
        <w:tabs>
          <w:tab w:val="left" w:pos="1658"/>
        </w:tabs>
        <w:jc w:val="both"/>
        <w:rPr>
          <w:rFonts w:ascii="Century Gothic" w:hAnsi="Century Gothic" w:cs="Arial"/>
          <w:sz w:val="24"/>
          <w:szCs w:val="24"/>
        </w:rPr>
      </w:pPr>
    </w:p>
    <w:p w:rsidR="002F71E6" w:rsidRPr="0093724E" w:rsidRDefault="002F71E6" w:rsidP="002F71E6">
      <w:pPr>
        <w:tabs>
          <w:tab w:val="left" w:pos="1658"/>
        </w:tabs>
        <w:jc w:val="both"/>
        <w:rPr>
          <w:rFonts w:ascii="Century Gothic" w:hAnsi="Century Gothic" w:cs="Arial"/>
          <w:b/>
          <w:sz w:val="24"/>
          <w:szCs w:val="24"/>
        </w:rPr>
      </w:pPr>
      <w:r w:rsidRPr="00C920B2">
        <w:rPr>
          <w:rFonts w:ascii="Century Gothic" w:hAnsi="Century Gothic" w:cs="Arial"/>
          <w:b/>
          <w:sz w:val="24"/>
          <w:szCs w:val="24"/>
        </w:rPr>
        <w:lastRenderedPageBreak/>
        <w:t>5.- Seguimiento a Aspectos Susceptibles de Mejora</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De acuerdo a la consulta realizada a la página del COMITÉ DE PLANEACIÓN PARA EL DESARROLLO DEL ESTADO (COPLADE), se encontró que se cuenta con una Evaluación al Fondo, que comprende la Evaluación del Ejercicio Fiscal 2016 del Fondo.</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A continuación se trascriben las recomendaciones emitidas por el Evaluador externo, relativas al ejercicio 2016 y se comenta brevemente el avance que se encontró. </w:t>
      </w:r>
    </w:p>
    <w:p w:rsidR="002F71E6" w:rsidRPr="00F579FD" w:rsidRDefault="002F71E6" w:rsidP="002F71E6">
      <w:pPr>
        <w:tabs>
          <w:tab w:val="left" w:pos="1658"/>
        </w:tabs>
        <w:jc w:val="both"/>
        <w:rPr>
          <w:rFonts w:ascii="Century Gothic" w:hAnsi="Century Gothic" w:cs="Arial"/>
          <w:b/>
          <w:sz w:val="24"/>
          <w:szCs w:val="24"/>
        </w:rPr>
      </w:pPr>
      <w:r w:rsidRPr="00F579FD">
        <w:rPr>
          <w:rFonts w:ascii="Century Gothic" w:hAnsi="Century Gothic" w:cs="Arial"/>
          <w:b/>
          <w:sz w:val="24"/>
          <w:szCs w:val="24"/>
        </w:rPr>
        <w:t>Ámbito Programático:</w:t>
      </w:r>
    </w:p>
    <w:p w:rsidR="002F71E6" w:rsidRPr="00D2088D" w:rsidRDefault="002F71E6" w:rsidP="002F71E6">
      <w:pPr>
        <w:pStyle w:val="Prrafodelista"/>
        <w:numPr>
          <w:ilvl w:val="0"/>
          <w:numId w:val="11"/>
        </w:numPr>
        <w:tabs>
          <w:tab w:val="left" w:pos="1658"/>
        </w:tabs>
        <w:jc w:val="both"/>
        <w:rPr>
          <w:rFonts w:ascii="Century Gothic" w:hAnsi="Century Gothic" w:cs="Arial"/>
          <w:sz w:val="24"/>
          <w:szCs w:val="24"/>
        </w:rPr>
      </w:pPr>
      <w:r w:rsidRPr="00D2088D">
        <w:rPr>
          <w:rFonts w:ascii="Century Gothic" w:hAnsi="Century Gothic" w:cs="Arial"/>
          <w:sz w:val="24"/>
          <w:szCs w:val="24"/>
        </w:rPr>
        <w:t>Identificar la Atención de la matrícula escolar por nivel, de educación básica (preescolar, primaria y secundaria) para ser congruente con lo establecido en la Matriz de Indicadores del FONE.</w:t>
      </w:r>
    </w:p>
    <w:p w:rsidR="00BC6806" w:rsidRDefault="002F71E6" w:rsidP="00BC6806">
      <w:pPr>
        <w:pStyle w:val="Prrafodelista"/>
        <w:numPr>
          <w:ilvl w:val="1"/>
          <w:numId w:val="11"/>
        </w:numPr>
        <w:tabs>
          <w:tab w:val="left" w:pos="1658"/>
        </w:tabs>
        <w:jc w:val="both"/>
        <w:rPr>
          <w:rFonts w:ascii="Century Gothic" w:hAnsi="Century Gothic" w:cs="Arial"/>
          <w:sz w:val="24"/>
          <w:szCs w:val="24"/>
        </w:rPr>
      </w:pPr>
      <w:r w:rsidRPr="00D2088D">
        <w:rPr>
          <w:rFonts w:ascii="Century Gothic" w:hAnsi="Century Gothic" w:cs="Arial"/>
          <w:sz w:val="24"/>
          <w:szCs w:val="24"/>
        </w:rPr>
        <w:t>Por lo que se recomienda, que el Instituto realice procedimiento de adecuación programática, según establezca la normatividad en la materia.</w:t>
      </w:r>
    </w:p>
    <w:p w:rsidR="00BC6806" w:rsidRPr="00BC6806" w:rsidRDefault="001A0B89" w:rsidP="001A0B89">
      <w:pPr>
        <w:tabs>
          <w:tab w:val="left" w:pos="1658"/>
        </w:tabs>
        <w:ind w:left="708"/>
        <w:jc w:val="both"/>
        <w:rPr>
          <w:rFonts w:ascii="Century Gothic" w:hAnsi="Century Gothic" w:cs="Arial"/>
          <w:sz w:val="24"/>
          <w:szCs w:val="24"/>
        </w:rPr>
      </w:pPr>
      <w:r w:rsidRPr="001A0B89">
        <w:rPr>
          <w:rFonts w:ascii="Century Gothic" w:hAnsi="Century Gothic" w:cs="Arial"/>
          <w:sz w:val="24"/>
          <w:szCs w:val="24"/>
        </w:rPr>
        <w:t>Recomendación sin atención, se observa que no se tuvo avance en esta recomendación; toda</w:t>
      </w:r>
      <w:r>
        <w:rPr>
          <w:rFonts w:ascii="Century Gothic" w:hAnsi="Century Gothic" w:cs="Arial"/>
          <w:sz w:val="24"/>
          <w:szCs w:val="24"/>
        </w:rPr>
        <w:t xml:space="preserve"> </w:t>
      </w:r>
      <w:r w:rsidRPr="001A0B89">
        <w:rPr>
          <w:rFonts w:ascii="Century Gothic" w:hAnsi="Century Gothic" w:cs="Arial"/>
          <w:sz w:val="24"/>
          <w:szCs w:val="24"/>
        </w:rPr>
        <w:t xml:space="preserve">vez que el Instituto continuó </w:t>
      </w:r>
      <w:r>
        <w:rPr>
          <w:rFonts w:ascii="Century Gothic" w:hAnsi="Century Gothic" w:cs="Arial"/>
          <w:sz w:val="24"/>
          <w:szCs w:val="24"/>
        </w:rPr>
        <w:t>no reportó la atención d</w:t>
      </w:r>
      <w:r w:rsidR="003B5349">
        <w:rPr>
          <w:rFonts w:ascii="Century Gothic" w:hAnsi="Century Gothic" w:cs="Arial"/>
          <w:sz w:val="24"/>
          <w:szCs w:val="24"/>
        </w:rPr>
        <w:t>i</w:t>
      </w:r>
      <w:r>
        <w:rPr>
          <w:rFonts w:ascii="Century Gothic" w:hAnsi="Century Gothic" w:cs="Arial"/>
          <w:sz w:val="24"/>
          <w:szCs w:val="24"/>
        </w:rPr>
        <w:t xml:space="preserve">ferenciada por nivel escolar. </w:t>
      </w:r>
    </w:p>
    <w:p w:rsidR="002F71E6" w:rsidRPr="00D2088D" w:rsidRDefault="002F71E6" w:rsidP="002F71E6">
      <w:pPr>
        <w:pStyle w:val="Prrafodelista"/>
        <w:numPr>
          <w:ilvl w:val="0"/>
          <w:numId w:val="11"/>
        </w:numPr>
        <w:tabs>
          <w:tab w:val="left" w:pos="1658"/>
        </w:tabs>
        <w:jc w:val="both"/>
        <w:rPr>
          <w:rFonts w:ascii="Century Gothic" w:hAnsi="Century Gothic" w:cs="Arial"/>
          <w:sz w:val="24"/>
          <w:szCs w:val="24"/>
        </w:rPr>
      </w:pPr>
      <w:r w:rsidRPr="00D2088D">
        <w:rPr>
          <w:rFonts w:ascii="Century Gothic" w:hAnsi="Century Gothic" w:cs="Arial"/>
          <w:sz w:val="24"/>
          <w:szCs w:val="24"/>
        </w:rPr>
        <w:t>Definir la matrícula atender, considerando que una parte de la población estudiantil se incorpora al sistema de educación privado.</w:t>
      </w:r>
    </w:p>
    <w:p w:rsidR="003B5349" w:rsidRDefault="002F71E6" w:rsidP="003B5349">
      <w:pPr>
        <w:pStyle w:val="Prrafodelista"/>
        <w:numPr>
          <w:ilvl w:val="1"/>
          <w:numId w:val="11"/>
        </w:numPr>
        <w:tabs>
          <w:tab w:val="left" w:pos="1658"/>
        </w:tabs>
        <w:jc w:val="both"/>
        <w:rPr>
          <w:rFonts w:ascii="Century Gothic" w:hAnsi="Century Gothic" w:cs="Arial"/>
          <w:sz w:val="24"/>
          <w:szCs w:val="24"/>
        </w:rPr>
      </w:pPr>
      <w:r w:rsidRPr="00D2088D">
        <w:rPr>
          <w:rFonts w:ascii="Century Gothic" w:hAnsi="Century Gothic" w:cs="Arial"/>
          <w:sz w:val="24"/>
          <w:szCs w:val="24"/>
        </w:rPr>
        <w:t xml:space="preserve">Para lo cual, es necesario que al momento de establecer las metas anuales, se considere el comportamiento estadístico de la matrícula. </w:t>
      </w:r>
    </w:p>
    <w:p w:rsidR="003B5349" w:rsidRPr="003B5349" w:rsidRDefault="003B5349" w:rsidP="003B5349">
      <w:pPr>
        <w:pStyle w:val="Prrafodelista"/>
        <w:tabs>
          <w:tab w:val="left" w:pos="1658"/>
        </w:tabs>
        <w:jc w:val="both"/>
        <w:rPr>
          <w:rFonts w:ascii="Century Gothic" w:hAnsi="Century Gothic" w:cs="Arial"/>
          <w:sz w:val="24"/>
          <w:szCs w:val="24"/>
        </w:rPr>
      </w:pPr>
      <w:r>
        <w:rPr>
          <w:rFonts w:ascii="Century Gothic" w:hAnsi="Century Gothic" w:cs="Arial"/>
          <w:sz w:val="24"/>
          <w:szCs w:val="24"/>
        </w:rPr>
        <w:t>S</w:t>
      </w:r>
      <w:r w:rsidRPr="003B5349">
        <w:rPr>
          <w:rFonts w:ascii="Century Gothic" w:hAnsi="Century Gothic" w:cs="Arial"/>
          <w:sz w:val="24"/>
          <w:szCs w:val="24"/>
        </w:rPr>
        <w:t>e observa que</w:t>
      </w:r>
      <w:r>
        <w:rPr>
          <w:rFonts w:ascii="Century Gothic" w:hAnsi="Century Gothic" w:cs="Arial"/>
          <w:sz w:val="24"/>
          <w:szCs w:val="24"/>
        </w:rPr>
        <w:t xml:space="preserve"> esta recomendación no </w:t>
      </w:r>
      <w:r w:rsidRPr="003B5349">
        <w:rPr>
          <w:rFonts w:ascii="Century Gothic" w:hAnsi="Century Gothic" w:cs="Arial"/>
          <w:sz w:val="24"/>
          <w:szCs w:val="24"/>
        </w:rPr>
        <w:t xml:space="preserve">tuvo avance; toda vez que el Instituto continuó no </w:t>
      </w:r>
      <w:r>
        <w:rPr>
          <w:rFonts w:ascii="Century Gothic" w:hAnsi="Century Gothic" w:cs="Arial"/>
          <w:sz w:val="24"/>
          <w:szCs w:val="24"/>
        </w:rPr>
        <w:t xml:space="preserve">reportó el comportamiento estadístico. </w:t>
      </w:r>
      <w:r w:rsidRPr="003B5349">
        <w:rPr>
          <w:rFonts w:ascii="Century Gothic" w:hAnsi="Century Gothic" w:cs="Arial"/>
          <w:sz w:val="24"/>
          <w:szCs w:val="24"/>
        </w:rPr>
        <w:t xml:space="preserve">  </w:t>
      </w:r>
    </w:p>
    <w:p w:rsidR="003B5349" w:rsidRPr="003B5349" w:rsidRDefault="003B5349" w:rsidP="003B5349">
      <w:pPr>
        <w:pStyle w:val="Prrafodelista"/>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Ámbito Presupuestal.</w:t>
      </w:r>
    </w:p>
    <w:p w:rsidR="002F71E6" w:rsidRDefault="002F71E6" w:rsidP="002F71E6">
      <w:pPr>
        <w:pStyle w:val="Prrafodelista"/>
        <w:numPr>
          <w:ilvl w:val="0"/>
          <w:numId w:val="12"/>
        </w:numPr>
        <w:tabs>
          <w:tab w:val="left" w:pos="1658"/>
        </w:tabs>
        <w:jc w:val="both"/>
        <w:rPr>
          <w:rFonts w:ascii="Century Gothic" w:hAnsi="Century Gothic" w:cs="Arial"/>
          <w:sz w:val="24"/>
          <w:szCs w:val="24"/>
        </w:rPr>
      </w:pPr>
      <w:r w:rsidRPr="00D2088D">
        <w:rPr>
          <w:rFonts w:ascii="Century Gothic" w:hAnsi="Century Gothic" w:cs="Arial"/>
          <w:sz w:val="24"/>
          <w:szCs w:val="24"/>
        </w:rPr>
        <w:t xml:space="preserve">Dar atención a los Lineamientos para el ejercicio del Fondo, esta recomendación es recurrente, ya que se presentó en la evaluación del ejercicio 2015. Además se considera crítica, ya que los recursos que se compruebe que no se ejercieron de acuerdo a lo establecido por el Fondo, tendrán que ser reintegrados a la SHCP, </w:t>
      </w:r>
      <w:r w:rsidRPr="00D2088D">
        <w:rPr>
          <w:rFonts w:ascii="Century Gothic" w:hAnsi="Century Gothic" w:cs="Arial"/>
          <w:sz w:val="24"/>
          <w:szCs w:val="24"/>
        </w:rPr>
        <w:lastRenderedPageBreak/>
        <w:t xml:space="preserve">una vez que se haya realizado el procedimiento correspondiente por parte de la Auditoría Superior de la Federación. </w:t>
      </w:r>
    </w:p>
    <w:p w:rsidR="002F71E6" w:rsidRDefault="002F71E6" w:rsidP="002F71E6">
      <w:pPr>
        <w:pStyle w:val="Prrafodelista"/>
        <w:tabs>
          <w:tab w:val="left" w:pos="1658"/>
        </w:tabs>
        <w:jc w:val="both"/>
        <w:rPr>
          <w:rFonts w:ascii="Century Gothic" w:hAnsi="Century Gothic" w:cs="Arial"/>
          <w:sz w:val="24"/>
          <w:szCs w:val="24"/>
        </w:rPr>
      </w:pPr>
    </w:p>
    <w:p w:rsidR="003B5349" w:rsidRDefault="003B5349" w:rsidP="003B5349">
      <w:pPr>
        <w:pStyle w:val="Prrafodelista"/>
        <w:tabs>
          <w:tab w:val="left" w:pos="1658"/>
        </w:tabs>
        <w:jc w:val="both"/>
        <w:rPr>
          <w:rFonts w:ascii="Century Gothic" w:hAnsi="Century Gothic" w:cs="Arial"/>
          <w:sz w:val="24"/>
          <w:szCs w:val="24"/>
        </w:rPr>
      </w:pPr>
      <w:r w:rsidRPr="003B5349">
        <w:rPr>
          <w:rFonts w:ascii="Century Gothic" w:hAnsi="Century Gothic" w:cs="Arial"/>
          <w:sz w:val="24"/>
          <w:szCs w:val="24"/>
        </w:rPr>
        <w:t>Recomendación</w:t>
      </w:r>
      <w:r>
        <w:rPr>
          <w:rFonts w:ascii="Century Gothic" w:hAnsi="Century Gothic" w:cs="Arial"/>
          <w:sz w:val="24"/>
          <w:szCs w:val="24"/>
        </w:rPr>
        <w:t xml:space="preserve"> recurrente</w:t>
      </w:r>
      <w:r w:rsidRPr="003B5349">
        <w:rPr>
          <w:rFonts w:ascii="Century Gothic" w:hAnsi="Century Gothic" w:cs="Arial"/>
          <w:sz w:val="24"/>
          <w:szCs w:val="24"/>
        </w:rPr>
        <w:t xml:space="preserve"> sin atención, se observa que no se tuvo avance en esta recomendación; toda</w:t>
      </w:r>
      <w:r>
        <w:rPr>
          <w:rFonts w:ascii="Century Gothic" w:hAnsi="Century Gothic" w:cs="Arial"/>
          <w:sz w:val="24"/>
          <w:szCs w:val="24"/>
        </w:rPr>
        <w:t xml:space="preserve"> </w:t>
      </w:r>
      <w:r w:rsidRPr="003B5349">
        <w:rPr>
          <w:rFonts w:ascii="Century Gothic" w:hAnsi="Century Gothic" w:cs="Arial"/>
          <w:sz w:val="24"/>
          <w:szCs w:val="24"/>
        </w:rPr>
        <w:t>vez que el Instituto continuó incumpliendo a cabalidad con los Lineamientos del</w:t>
      </w:r>
      <w:r>
        <w:rPr>
          <w:rFonts w:ascii="Century Gothic" w:hAnsi="Century Gothic" w:cs="Arial"/>
          <w:sz w:val="24"/>
          <w:szCs w:val="24"/>
        </w:rPr>
        <w:t xml:space="preserve"> </w:t>
      </w:r>
      <w:r w:rsidRPr="003B5349">
        <w:rPr>
          <w:rFonts w:ascii="Century Gothic" w:hAnsi="Century Gothic" w:cs="Arial"/>
          <w:sz w:val="24"/>
          <w:szCs w:val="24"/>
        </w:rPr>
        <w:t>Fondo –Gasto Operativo.</w:t>
      </w:r>
    </w:p>
    <w:p w:rsidR="003B5349" w:rsidRPr="00D2088D" w:rsidRDefault="003B5349" w:rsidP="002F71E6">
      <w:pPr>
        <w:pStyle w:val="Prrafodelista"/>
        <w:tabs>
          <w:tab w:val="left" w:pos="1658"/>
        </w:tabs>
        <w:jc w:val="both"/>
        <w:rPr>
          <w:rFonts w:ascii="Century Gothic" w:hAnsi="Century Gothic" w:cs="Arial"/>
          <w:sz w:val="24"/>
          <w:szCs w:val="24"/>
        </w:rPr>
      </w:pPr>
    </w:p>
    <w:p w:rsidR="002F71E6" w:rsidRPr="00D2088D" w:rsidRDefault="002F71E6" w:rsidP="002F71E6">
      <w:pPr>
        <w:pStyle w:val="Prrafodelista"/>
        <w:numPr>
          <w:ilvl w:val="0"/>
          <w:numId w:val="12"/>
        </w:numPr>
        <w:tabs>
          <w:tab w:val="left" w:pos="1658"/>
        </w:tabs>
        <w:jc w:val="both"/>
        <w:rPr>
          <w:rFonts w:ascii="Century Gothic" w:hAnsi="Century Gothic" w:cs="Arial"/>
          <w:sz w:val="24"/>
          <w:szCs w:val="24"/>
        </w:rPr>
      </w:pPr>
      <w:r w:rsidRPr="00D2088D">
        <w:rPr>
          <w:rFonts w:ascii="Century Gothic" w:hAnsi="Century Gothic" w:cs="Arial"/>
          <w:sz w:val="24"/>
          <w:szCs w:val="24"/>
        </w:rPr>
        <w:t xml:space="preserve">Vigilar y administrar las asignaciones de los recursos del Fondo de acuerdo a lo autorizado por la Federación, ya que en el caso del Fondo de compensación, al periodo del informe de la Cuenta Pública del ejercicio 2016 del Instituto, presenta un importe devengado mayor al importe informado por la SHCP, es decir, se excedió el ejercicio de los recursos autorizados. </w:t>
      </w:r>
    </w:p>
    <w:p w:rsidR="003B5349" w:rsidRDefault="002F71E6" w:rsidP="003B5349">
      <w:pPr>
        <w:pStyle w:val="Prrafodelista"/>
        <w:numPr>
          <w:ilvl w:val="1"/>
          <w:numId w:val="12"/>
        </w:numPr>
        <w:tabs>
          <w:tab w:val="left" w:pos="1658"/>
        </w:tabs>
        <w:jc w:val="both"/>
        <w:rPr>
          <w:rFonts w:ascii="Century Gothic" w:hAnsi="Century Gothic" w:cs="Arial"/>
          <w:sz w:val="24"/>
          <w:szCs w:val="24"/>
        </w:rPr>
      </w:pPr>
      <w:r w:rsidRPr="00D2088D">
        <w:rPr>
          <w:rFonts w:ascii="Century Gothic" w:hAnsi="Century Gothic" w:cs="Arial"/>
          <w:sz w:val="24"/>
          <w:szCs w:val="24"/>
        </w:rPr>
        <w:t xml:space="preserve">Y  en el mismo tenor, el Fondo de Gastos de Operación, al mismo periodo, presenta un sub ejercicio considerable, al comparar lo devengado por el Instituto y lo radicado por la SHCP. </w:t>
      </w:r>
    </w:p>
    <w:p w:rsidR="003B5349" w:rsidRDefault="003B5349" w:rsidP="003B5349">
      <w:pPr>
        <w:pStyle w:val="Prrafodelista"/>
        <w:tabs>
          <w:tab w:val="left" w:pos="1658"/>
        </w:tabs>
        <w:jc w:val="both"/>
        <w:rPr>
          <w:rFonts w:ascii="Century Gothic" w:hAnsi="Century Gothic" w:cs="Arial"/>
          <w:sz w:val="24"/>
          <w:szCs w:val="24"/>
        </w:rPr>
      </w:pPr>
    </w:p>
    <w:p w:rsidR="003B5349" w:rsidRDefault="003B5349" w:rsidP="003B5349">
      <w:pPr>
        <w:pStyle w:val="Prrafodelista"/>
        <w:tabs>
          <w:tab w:val="left" w:pos="1658"/>
        </w:tabs>
        <w:jc w:val="both"/>
        <w:rPr>
          <w:rFonts w:ascii="Century Gothic" w:hAnsi="Century Gothic" w:cs="Arial"/>
          <w:sz w:val="24"/>
          <w:szCs w:val="24"/>
        </w:rPr>
      </w:pPr>
      <w:r w:rsidRPr="003B5349">
        <w:rPr>
          <w:rFonts w:ascii="Century Gothic" w:hAnsi="Century Gothic" w:cs="Arial"/>
          <w:sz w:val="24"/>
          <w:szCs w:val="24"/>
        </w:rPr>
        <w:t>Recomendación</w:t>
      </w:r>
      <w:r>
        <w:rPr>
          <w:rFonts w:ascii="Century Gothic" w:hAnsi="Century Gothic" w:cs="Arial"/>
          <w:sz w:val="24"/>
          <w:szCs w:val="24"/>
        </w:rPr>
        <w:t xml:space="preserve"> recurrente </w:t>
      </w:r>
      <w:r w:rsidRPr="003B5349">
        <w:rPr>
          <w:rFonts w:ascii="Century Gothic" w:hAnsi="Century Gothic" w:cs="Arial"/>
          <w:sz w:val="24"/>
          <w:szCs w:val="24"/>
        </w:rPr>
        <w:t>sin atención, se observa que no se tuvo avance en esta recomendación; toda vez que el Instituto continuó</w:t>
      </w:r>
      <w:r>
        <w:rPr>
          <w:rFonts w:ascii="Century Gothic" w:hAnsi="Century Gothic" w:cs="Arial"/>
          <w:sz w:val="24"/>
          <w:szCs w:val="24"/>
        </w:rPr>
        <w:t xml:space="preserve"> con el importe devengado mayor al importe informado por la SHCP</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Las dos recomendaciones señaladas anteriormente, tienen su origen en los procesos de control presupuestal y financiero al interior del Instituto, las cuales deben de ser revisados por los Directivos e implementar las mejoras de acción necesarias a efecto de asegurar la correcta administración de los recursos del Fondo. </w:t>
      </w:r>
    </w:p>
    <w:p w:rsidR="002F71E6" w:rsidRPr="00F579FD" w:rsidRDefault="002F71E6" w:rsidP="002F71E6">
      <w:pPr>
        <w:tabs>
          <w:tab w:val="left" w:pos="1658"/>
        </w:tabs>
        <w:jc w:val="both"/>
        <w:rPr>
          <w:rFonts w:ascii="Century Gothic" w:hAnsi="Century Gothic" w:cs="Arial"/>
          <w:b/>
          <w:sz w:val="24"/>
          <w:szCs w:val="24"/>
        </w:rPr>
      </w:pPr>
      <w:r w:rsidRPr="00F579FD">
        <w:rPr>
          <w:rFonts w:ascii="Century Gothic" w:hAnsi="Century Gothic" w:cs="Arial"/>
          <w:b/>
          <w:sz w:val="24"/>
          <w:szCs w:val="24"/>
        </w:rPr>
        <w:t xml:space="preserve">Ámbito de Indicadores. </w:t>
      </w:r>
    </w:p>
    <w:p w:rsidR="002F71E6" w:rsidRPr="00D2088D" w:rsidRDefault="002F71E6" w:rsidP="002F71E6">
      <w:pPr>
        <w:pStyle w:val="Prrafodelista"/>
        <w:numPr>
          <w:ilvl w:val="0"/>
          <w:numId w:val="13"/>
        </w:numPr>
        <w:tabs>
          <w:tab w:val="left" w:pos="1658"/>
        </w:tabs>
        <w:jc w:val="both"/>
        <w:rPr>
          <w:rFonts w:ascii="Century Gothic" w:hAnsi="Century Gothic" w:cs="Arial"/>
          <w:sz w:val="24"/>
          <w:szCs w:val="24"/>
        </w:rPr>
      </w:pPr>
      <w:r w:rsidRPr="00D2088D">
        <w:rPr>
          <w:rFonts w:ascii="Century Gothic" w:hAnsi="Century Gothic" w:cs="Arial"/>
          <w:sz w:val="24"/>
          <w:szCs w:val="24"/>
        </w:rPr>
        <w:t xml:space="preserve">Establecer las metas de los indicadores de la Matriz del Fondo, considerando factores externos, como lo es la matrícula estudiantil que se incorpora a escuelas privadas. </w:t>
      </w:r>
    </w:p>
    <w:p w:rsidR="002F71E6" w:rsidRDefault="002F71E6" w:rsidP="002F71E6">
      <w:pPr>
        <w:tabs>
          <w:tab w:val="left" w:pos="1658"/>
        </w:tabs>
        <w:jc w:val="both"/>
        <w:rPr>
          <w:rFonts w:ascii="Century Gothic" w:hAnsi="Century Gothic" w:cs="Arial"/>
          <w:sz w:val="24"/>
          <w:szCs w:val="24"/>
        </w:rPr>
      </w:pPr>
      <w:r>
        <w:rPr>
          <w:rFonts w:ascii="Century Gothic" w:hAnsi="Century Gothic" w:cs="Arial"/>
          <w:sz w:val="24"/>
          <w:szCs w:val="24"/>
        </w:rPr>
        <w:t xml:space="preserve">Definir indicadores educativos de atención con los recursos del Fondo. </w:t>
      </w:r>
    </w:p>
    <w:p w:rsidR="003B5349" w:rsidRPr="00BC6806" w:rsidRDefault="003B5349" w:rsidP="003B5349">
      <w:pPr>
        <w:tabs>
          <w:tab w:val="left" w:pos="1658"/>
        </w:tabs>
        <w:ind w:left="708"/>
        <w:jc w:val="both"/>
        <w:rPr>
          <w:rFonts w:ascii="Century Gothic" w:hAnsi="Century Gothic" w:cs="Arial"/>
          <w:sz w:val="24"/>
          <w:szCs w:val="24"/>
        </w:rPr>
      </w:pPr>
      <w:r w:rsidRPr="001A0B89">
        <w:rPr>
          <w:rFonts w:ascii="Century Gothic" w:hAnsi="Century Gothic" w:cs="Arial"/>
          <w:sz w:val="24"/>
          <w:szCs w:val="24"/>
        </w:rPr>
        <w:t>Recomendación sin atención, se observa que no se tuvo avance en esta recomendación</w:t>
      </w:r>
      <w:r>
        <w:rPr>
          <w:rFonts w:ascii="Century Gothic" w:hAnsi="Century Gothic" w:cs="Arial"/>
          <w:sz w:val="24"/>
          <w:szCs w:val="24"/>
        </w:rPr>
        <w:t xml:space="preserve">.  </w:t>
      </w:r>
    </w:p>
    <w:p w:rsidR="003B5349" w:rsidRDefault="003B5349" w:rsidP="002F71E6">
      <w:pPr>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6.- Conclusiones y recomendaciones. </w:t>
      </w: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6.1 Conclusiones</w:t>
      </w:r>
    </w:p>
    <w:p w:rsidR="002F71E6" w:rsidRDefault="002F71E6" w:rsidP="002F71E6">
      <w:pPr>
        <w:pStyle w:val="Prrafodelista"/>
        <w:numPr>
          <w:ilvl w:val="0"/>
          <w:numId w:val="8"/>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Programático </w:t>
      </w:r>
    </w:p>
    <w:tbl>
      <w:tblPr>
        <w:tblStyle w:val="Tablaconcuadrcula"/>
        <w:tblW w:w="0" w:type="auto"/>
        <w:tblInd w:w="720" w:type="dxa"/>
        <w:tblLook w:val="04A0" w:firstRow="1" w:lastRow="0" w:firstColumn="1" w:lastColumn="0" w:noHBand="0" w:noVBand="1"/>
      </w:tblPr>
      <w:tblGrid>
        <w:gridCol w:w="4140"/>
        <w:gridCol w:w="4194"/>
      </w:tblGrid>
      <w:tr w:rsidR="002F71E6" w:rsidTr="000D38C7">
        <w:tc>
          <w:tcPr>
            <w:tcW w:w="4489"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489"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F71E6" w:rsidTr="000D38C7">
        <w:tc>
          <w:tcPr>
            <w:tcW w:w="4489" w:type="dxa"/>
          </w:tcPr>
          <w:p w:rsidR="002F71E6" w:rsidRDefault="002F71E6" w:rsidP="000D38C7">
            <w:pPr>
              <w:pStyle w:val="Prrafodelista"/>
              <w:numPr>
                <w:ilvl w:val="0"/>
                <w:numId w:val="14"/>
              </w:numPr>
              <w:tabs>
                <w:tab w:val="left" w:pos="1658"/>
              </w:tabs>
              <w:jc w:val="both"/>
              <w:rPr>
                <w:rFonts w:ascii="Century Gothic" w:hAnsi="Century Gothic" w:cs="Arial"/>
                <w:sz w:val="24"/>
                <w:szCs w:val="24"/>
              </w:rPr>
            </w:pPr>
            <w:r w:rsidRPr="00D2088D">
              <w:rPr>
                <w:rFonts w:ascii="Century Gothic" w:hAnsi="Century Gothic" w:cs="Arial"/>
                <w:sz w:val="24"/>
                <w:szCs w:val="24"/>
              </w:rPr>
              <w:t>Las metas del Fondo se alinean con los documentos de Planeación Federal y Estatal</w:t>
            </w:r>
          </w:p>
          <w:p w:rsidR="002F71E6" w:rsidRPr="00D2088D" w:rsidRDefault="002F71E6" w:rsidP="000D38C7">
            <w:pPr>
              <w:pStyle w:val="Prrafodelista"/>
              <w:numPr>
                <w:ilvl w:val="0"/>
                <w:numId w:val="14"/>
              </w:numPr>
              <w:tabs>
                <w:tab w:val="left" w:pos="1658"/>
              </w:tabs>
              <w:jc w:val="both"/>
              <w:rPr>
                <w:rFonts w:ascii="Century Gothic" w:hAnsi="Century Gothic" w:cs="Arial"/>
                <w:sz w:val="24"/>
                <w:szCs w:val="24"/>
              </w:rPr>
            </w:pPr>
            <w:r>
              <w:rPr>
                <w:rFonts w:ascii="Century Gothic" w:hAnsi="Century Gothic" w:cs="Arial"/>
                <w:sz w:val="24"/>
                <w:szCs w:val="24"/>
              </w:rPr>
              <w:t xml:space="preserve">Se cuenta con una estructura adecuada para la atención de las metas establecidas. </w:t>
            </w:r>
          </w:p>
        </w:tc>
        <w:tc>
          <w:tcPr>
            <w:tcW w:w="4489"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Creación de programas emergentes para la atención del rezago estudiantil. </w:t>
            </w:r>
          </w:p>
        </w:tc>
      </w:tr>
      <w:tr w:rsidR="002F71E6" w:rsidTr="000D38C7">
        <w:tc>
          <w:tcPr>
            <w:tcW w:w="4489"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489"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F71E6" w:rsidTr="000D38C7">
        <w:tc>
          <w:tcPr>
            <w:tcW w:w="4489"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 Atención de la matrícula por nivel de educación básica no diferenciada. </w:t>
            </w:r>
          </w:p>
        </w:tc>
        <w:tc>
          <w:tcPr>
            <w:tcW w:w="4489"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Constante flujo migratorio, lo que impacta en directamente en los indicadores de resultados. </w:t>
            </w:r>
          </w:p>
        </w:tc>
      </w:tr>
    </w:tbl>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8"/>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de Indicadores. </w:t>
      </w:r>
    </w:p>
    <w:tbl>
      <w:tblPr>
        <w:tblStyle w:val="Tablaconcuadrcula"/>
        <w:tblW w:w="0" w:type="auto"/>
        <w:tblInd w:w="720" w:type="dxa"/>
        <w:tblLook w:val="04A0" w:firstRow="1" w:lastRow="0" w:firstColumn="1" w:lastColumn="0" w:noHBand="0" w:noVBand="1"/>
      </w:tblPr>
      <w:tblGrid>
        <w:gridCol w:w="4146"/>
        <w:gridCol w:w="4188"/>
      </w:tblGrid>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F71E6" w:rsidTr="000D38C7">
        <w:tc>
          <w:tcPr>
            <w:tcW w:w="4146" w:type="dxa"/>
          </w:tcPr>
          <w:p w:rsidR="002F71E6" w:rsidRPr="00FD13E3"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Los indicadores estatales siguen el modelo a nivel nacional, facilitando su análisis. </w:t>
            </w:r>
          </w:p>
          <w:p w:rsidR="002F71E6" w:rsidRPr="00777617"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Existe alineación de las Matrices de Indicadores de Resultados entre la Federación y el Estado.</w:t>
            </w:r>
          </w:p>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El Estado de Baja California Cuenta con un portal de Indicadores accesible para su búsqueda.  </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Definir cuáles son los indicadores estatales que se relacionan con los Indicadores del Fondo. </w:t>
            </w:r>
          </w:p>
        </w:tc>
      </w:tr>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F71E6" w:rsidTr="000D38C7">
        <w:tc>
          <w:tcPr>
            <w:tcW w:w="4146" w:type="dxa"/>
          </w:tcPr>
          <w:p w:rsidR="002F71E6" w:rsidRPr="008165AD"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El indicador del nivel del Fin de la MIR del FONE no se encuentra atendido.</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Constante flujo migratorio, lo que impacta en directamente en los indicadores de resultados.</w:t>
            </w:r>
          </w:p>
        </w:tc>
      </w:tr>
    </w:tbl>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8"/>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Aspecto presupuestal.</w:t>
      </w:r>
    </w:p>
    <w:tbl>
      <w:tblPr>
        <w:tblStyle w:val="Tablaconcuadrcula"/>
        <w:tblW w:w="0" w:type="auto"/>
        <w:tblInd w:w="720" w:type="dxa"/>
        <w:tblLook w:val="04A0" w:firstRow="1" w:lastRow="0" w:firstColumn="1" w:lastColumn="0" w:noHBand="0" w:noVBand="1"/>
      </w:tblPr>
      <w:tblGrid>
        <w:gridCol w:w="4146"/>
        <w:gridCol w:w="4188"/>
      </w:tblGrid>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F71E6" w:rsidTr="000D38C7">
        <w:tc>
          <w:tcPr>
            <w:tcW w:w="4146" w:type="dxa"/>
          </w:tcPr>
          <w:p w:rsidR="002F71E6" w:rsidRPr="00E65325"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Se cuenta con el personal capacitado y con experiencia para el registro y control presupuestal.</w:t>
            </w:r>
          </w:p>
          <w:p w:rsidR="002F71E6" w:rsidRDefault="002F71E6" w:rsidP="000D38C7">
            <w:pPr>
              <w:pStyle w:val="Prrafodelista"/>
              <w:numPr>
                <w:ilvl w:val="0"/>
                <w:numId w:val="14"/>
              </w:numPr>
              <w:tabs>
                <w:tab w:val="left" w:pos="1658"/>
              </w:tabs>
              <w:jc w:val="both"/>
              <w:rPr>
                <w:rFonts w:ascii="Century Gothic" w:hAnsi="Century Gothic" w:cs="Arial"/>
                <w:b/>
                <w:sz w:val="24"/>
                <w:szCs w:val="24"/>
              </w:rPr>
            </w:pPr>
          </w:p>
        </w:tc>
        <w:tc>
          <w:tcPr>
            <w:tcW w:w="4188" w:type="dxa"/>
          </w:tcPr>
          <w:p w:rsidR="002F71E6" w:rsidRPr="00F10717"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Identificar la contribución del recurso del Fondo en el logro de las metas programáticas. </w:t>
            </w:r>
          </w:p>
        </w:tc>
      </w:tr>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F71E6" w:rsidTr="000D38C7">
        <w:tc>
          <w:tcPr>
            <w:tcW w:w="4146"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No es posible identificar el uso del recurso del Fondo en el logro de las metas programáticas. </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Los recursos destinados a la educación provienen en su mayoría del FONE. </w:t>
            </w:r>
          </w:p>
        </w:tc>
      </w:tr>
    </w:tbl>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8"/>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cobertura. </w:t>
      </w:r>
    </w:p>
    <w:tbl>
      <w:tblPr>
        <w:tblStyle w:val="Tablaconcuadrcula"/>
        <w:tblW w:w="0" w:type="auto"/>
        <w:tblInd w:w="720" w:type="dxa"/>
        <w:tblLook w:val="04A0" w:firstRow="1" w:lastRow="0" w:firstColumn="1" w:lastColumn="0" w:noHBand="0" w:noVBand="1"/>
      </w:tblPr>
      <w:tblGrid>
        <w:gridCol w:w="4146"/>
        <w:gridCol w:w="4188"/>
      </w:tblGrid>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F71E6" w:rsidTr="000D38C7">
        <w:tc>
          <w:tcPr>
            <w:tcW w:w="4146" w:type="dxa"/>
          </w:tcPr>
          <w:p w:rsidR="002F71E6" w:rsidRPr="00433AFE"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Para el ejercicio fiscal 2017 la población atendida se prevé que tendrá un aumento significativo en los niveles de primaria y preescolar. </w:t>
            </w:r>
          </w:p>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Se cuenta con una proyección de beneficiarios.  </w:t>
            </w:r>
          </w:p>
        </w:tc>
        <w:tc>
          <w:tcPr>
            <w:tcW w:w="4188" w:type="dxa"/>
          </w:tcPr>
          <w:p w:rsidR="002F71E6" w:rsidRPr="0001460D"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Publicar trimestralmente en el portal las principales cifras estadísticas.</w:t>
            </w:r>
          </w:p>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Mejorar la administración de la planta docente.  </w:t>
            </w:r>
          </w:p>
        </w:tc>
      </w:tr>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F71E6" w:rsidTr="000D38C7">
        <w:tc>
          <w:tcPr>
            <w:tcW w:w="4146"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No se cuenta con un análisis de la planta docente. </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Constante flujo migratorio, lo que impacta en directamente en los indicadores de resultados.</w:t>
            </w:r>
          </w:p>
        </w:tc>
      </w:tr>
    </w:tbl>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8"/>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tbl>
      <w:tblPr>
        <w:tblStyle w:val="Tablaconcuadrcula"/>
        <w:tblW w:w="0" w:type="auto"/>
        <w:tblInd w:w="720" w:type="dxa"/>
        <w:tblLook w:val="04A0" w:firstRow="1" w:lastRow="0" w:firstColumn="1" w:lastColumn="0" w:noHBand="0" w:noVBand="1"/>
      </w:tblPr>
      <w:tblGrid>
        <w:gridCol w:w="4146"/>
        <w:gridCol w:w="4188"/>
      </w:tblGrid>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Fortalezas</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Oportunidades</w:t>
            </w:r>
          </w:p>
        </w:tc>
      </w:tr>
      <w:tr w:rsidR="002F71E6" w:rsidTr="000D38C7">
        <w:tc>
          <w:tcPr>
            <w:tcW w:w="4146"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La Evaluación anterior presentó correctamente sus recomendaciones. </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Publicar el Seguimiento de Recomendaciones en el Portal Web del Instituto. </w:t>
            </w:r>
          </w:p>
        </w:tc>
      </w:tr>
      <w:tr w:rsidR="002F71E6" w:rsidTr="000D38C7">
        <w:tc>
          <w:tcPr>
            <w:tcW w:w="4146"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 xml:space="preserve">Debilidades </w:t>
            </w:r>
          </w:p>
        </w:tc>
        <w:tc>
          <w:tcPr>
            <w:tcW w:w="4188" w:type="dxa"/>
          </w:tcPr>
          <w:p w:rsidR="002F71E6" w:rsidRDefault="002F71E6" w:rsidP="000D38C7">
            <w:pPr>
              <w:pStyle w:val="Prrafodelista"/>
              <w:tabs>
                <w:tab w:val="left" w:pos="1658"/>
              </w:tabs>
              <w:ind w:left="0"/>
              <w:jc w:val="both"/>
              <w:rPr>
                <w:rFonts w:ascii="Century Gothic" w:hAnsi="Century Gothic" w:cs="Arial"/>
                <w:b/>
                <w:sz w:val="24"/>
                <w:szCs w:val="24"/>
              </w:rPr>
            </w:pPr>
            <w:r>
              <w:rPr>
                <w:rFonts w:ascii="Century Gothic" w:hAnsi="Century Gothic" w:cs="Arial"/>
                <w:b/>
                <w:sz w:val="24"/>
                <w:szCs w:val="24"/>
              </w:rPr>
              <w:t>Amenazas</w:t>
            </w:r>
          </w:p>
        </w:tc>
      </w:tr>
      <w:tr w:rsidR="002F71E6" w:rsidTr="000D38C7">
        <w:tc>
          <w:tcPr>
            <w:tcW w:w="4146"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En el Portal de COPLADE, no se puede acceder a la revisión del Seguimiento de Recomendaciones. </w:t>
            </w:r>
          </w:p>
        </w:tc>
        <w:tc>
          <w:tcPr>
            <w:tcW w:w="4188" w:type="dxa"/>
          </w:tcPr>
          <w:p w:rsidR="002F71E6" w:rsidRDefault="002F71E6" w:rsidP="000D38C7">
            <w:pPr>
              <w:pStyle w:val="Prrafodelista"/>
              <w:numPr>
                <w:ilvl w:val="0"/>
                <w:numId w:val="14"/>
              </w:numPr>
              <w:tabs>
                <w:tab w:val="left" w:pos="1658"/>
              </w:tabs>
              <w:jc w:val="both"/>
              <w:rPr>
                <w:rFonts w:ascii="Century Gothic" w:hAnsi="Century Gothic" w:cs="Arial"/>
                <w:b/>
                <w:sz w:val="24"/>
                <w:szCs w:val="24"/>
              </w:rPr>
            </w:pPr>
            <w:r>
              <w:rPr>
                <w:rFonts w:ascii="Century Gothic" w:hAnsi="Century Gothic" w:cs="Arial"/>
                <w:sz w:val="24"/>
                <w:szCs w:val="24"/>
              </w:rPr>
              <w:t xml:space="preserve">Que los entes evaluadores no puedan hacer un análisis de las recomendaciones anteriores. </w:t>
            </w:r>
          </w:p>
        </w:tc>
      </w:tr>
    </w:tbl>
    <w:p w:rsidR="002F71E6" w:rsidRPr="009A3E22" w:rsidRDefault="002F71E6" w:rsidP="002F71E6">
      <w:pPr>
        <w:pStyle w:val="Prrafodelista"/>
        <w:rPr>
          <w:rFonts w:ascii="Century Gothic" w:hAnsi="Century Gothic" w:cs="Arial"/>
          <w:b/>
          <w:sz w:val="24"/>
          <w:szCs w:val="24"/>
        </w:rPr>
      </w:pPr>
    </w:p>
    <w:p w:rsidR="002F71E6" w:rsidRPr="009A3E22"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6.2 Recomendaciones. </w:t>
      </w:r>
    </w:p>
    <w:p w:rsidR="002F71E6" w:rsidRDefault="002F71E6" w:rsidP="002F71E6">
      <w:pPr>
        <w:pStyle w:val="Prrafodelista"/>
        <w:numPr>
          <w:ilvl w:val="0"/>
          <w:numId w:val="9"/>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Programático </w:t>
      </w:r>
    </w:p>
    <w:p w:rsidR="002F71E6" w:rsidRPr="00BE194D" w:rsidRDefault="002F71E6" w:rsidP="002F71E6">
      <w:pPr>
        <w:pStyle w:val="Prrafodelista"/>
        <w:tabs>
          <w:tab w:val="left" w:pos="1658"/>
        </w:tabs>
        <w:jc w:val="both"/>
        <w:rPr>
          <w:rFonts w:ascii="Century Gothic" w:hAnsi="Century Gothic" w:cs="Arial"/>
          <w:sz w:val="24"/>
          <w:szCs w:val="24"/>
        </w:rPr>
      </w:pPr>
      <w:r>
        <w:rPr>
          <w:rFonts w:ascii="Century Gothic" w:hAnsi="Century Gothic" w:cs="Arial"/>
          <w:sz w:val="24"/>
          <w:szCs w:val="24"/>
        </w:rPr>
        <w:t>Desarrollar mecanismos para la detección de necesidades de los niveles educativos.</w:t>
      </w:r>
    </w:p>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9"/>
        </w:numPr>
        <w:tabs>
          <w:tab w:val="left" w:pos="1658"/>
        </w:tabs>
        <w:jc w:val="both"/>
        <w:rPr>
          <w:rFonts w:ascii="Century Gothic" w:hAnsi="Century Gothic" w:cs="Arial"/>
          <w:b/>
          <w:sz w:val="24"/>
          <w:szCs w:val="24"/>
        </w:rPr>
      </w:pPr>
      <w:r>
        <w:rPr>
          <w:rFonts w:ascii="Century Gothic" w:hAnsi="Century Gothic" w:cs="Arial"/>
          <w:b/>
          <w:sz w:val="24"/>
          <w:szCs w:val="24"/>
        </w:rPr>
        <w:t xml:space="preserve">Aspecto de Indicadores. </w:t>
      </w:r>
    </w:p>
    <w:p w:rsidR="002F71E6" w:rsidRPr="00B3527D" w:rsidRDefault="002F71E6" w:rsidP="002F71E6">
      <w:pPr>
        <w:pStyle w:val="Prrafodelista"/>
        <w:rPr>
          <w:rFonts w:ascii="Century Gothic" w:hAnsi="Century Gothic" w:cs="Arial"/>
          <w:sz w:val="24"/>
          <w:szCs w:val="24"/>
        </w:rPr>
      </w:pPr>
      <w:r>
        <w:rPr>
          <w:rFonts w:ascii="Century Gothic" w:hAnsi="Century Gothic" w:cs="Arial"/>
          <w:sz w:val="24"/>
          <w:szCs w:val="24"/>
        </w:rPr>
        <w:t xml:space="preserve">Establecer una Matriz de Indicadores de Resultados a nivel Estatal. </w:t>
      </w:r>
    </w:p>
    <w:p w:rsidR="002F71E6"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pStyle w:val="Prrafodelista"/>
        <w:numPr>
          <w:ilvl w:val="0"/>
          <w:numId w:val="9"/>
        </w:numPr>
        <w:tabs>
          <w:tab w:val="left" w:pos="1658"/>
        </w:tabs>
        <w:jc w:val="both"/>
        <w:rPr>
          <w:rFonts w:ascii="Century Gothic" w:hAnsi="Century Gothic" w:cs="Arial"/>
          <w:b/>
          <w:sz w:val="24"/>
          <w:szCs w:val="24"/>
        </w:rPr>
      </w:pPr>
      <w:r>
        <w:rPr>
          <w:rFonts w:ascii="Century Gothic" w:hAnsi="Century Gothic" w:cs="Arial"/>
          <w:b/>
          <w:sz w:val="24"/>
          <w:szCs w:val="24"/>
        </w:rPr>
        <w:t>Aspecto presupuestal.</w:t>
      </w:r>
    </w:p>
    <w:p w:rsidR="002F71E6" w:rsidRDefault="002F71E6" w:rsidP="002F71E6">
      <w:pPr>
        <w:pStyle w:val="Prrafodelista"/>
        <w:tabs>
          <w:tab w:val="left" w:pos="1658"/>
        </w:tabs>
        <w:jc w:val="both"/>
        <w:rPr>
          <w:rFonts w:ascii="Century Gothic" w:hAnsi="Century Gothic" w:cs="Arial"/>
          <w:sz w:val="24"/>
          <w:szCs w:val="24"/>
        </w:rPr>
      </w:pPr>
      <w:r>
        <w:rPr>
          <w:rFonts w:ascii="Century Gothic" w:hAnsi="Century Gothic" w:cs="Arial"/>
          <w:sz w:val="24"/>
          <w:szCs w:val="24"/>
        </w:rPr>
        <w:t>Establecer controles en los procesos administrativos y operativos, relativos al control del avance presupuestal.</w:t>
      </w:r>
    </w:p>
    <w:p w:rsidR="002F71E6" w:rsidRPr="00B3527D" w:rsidRDefault="002F71E6" w:rsidP="002F71E6">
      <w:pPr>
        <w:pStyle w:val="Prrafodelista"/>
        <w:tabs>
          <w:tab w:val="left" w:pos="1658"/>
        </w:tabs>
        <w:jc w:val="both"/>
        <w:rPr>
          <w:rFonts w:ascii="Century Gothic" w:hAnsi="Century Gothic" w:cs="Arial"/>
          <w:sz w:val="24"/>
          <w:szCs w:val="24"/>
        </w:rPr>
      </w:pPr>
    </w:p>
    <w:p w:rsidR="002F71E6" w:rsidRDefault="002F71E6" w:rsidP="002F71E6">
      <w:pPr>
        <w:pStyle w:val="Prrafodelista"/>
        <w:numPr>
          <w:ilvl w:val="0"/>
          <w:numId w:val="9"/>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cobertura. </w:t>
      </w:r>
    </w:p>
    <w:p w:rsidR="002F71E6" w:rsidRDefault="002F71E6" w:rsidP="002F71E6">
      <w:pPr>
        <w:pStyle w:val="Prrafodelista"/>
        <w:tabs>
          <w:tab w:val="left" w:pos="1658"/>
        </w:tabs>
        <w:jc w:val="both"/>
        <w:rPr>
          <w:rFonts w:ascii="Century Gothic" w:hAnsi="Century Gothic" w:cs="Arial"/>
          <w:sz w:val="24"/>
          <w:szCs w:val="24"/>
        </w:rPr>
      </w:pPr>
      <w:r>
        <w:rPr>
          <w:rFonts w:ascii="Century Gothic" w:hAnsi="Century Gothic" w:cs="Arial"/>
          <w:sz w:val="24"/>
          <w:szCs w:val="24"/>
        </w:rPr>
        <w:t xml:space="preserve">Desarrollar e implementar estrategias para incrementar el porcentaje de alumnos a nivel </w:t>
      </w:r>
      <w:proofErr w:type="gramStart"/>
      <w:r>
        <w:rPr>
          <w:rFonts w:ascii="Century Gothic" w:hAnsi="Century Gothic" w:cs="Arial"/>
          <w:sz w:val="24"/>
          <w:szCs w:val="24"/>
        </w:rPr>
        <w:t>secundaria</w:t>
      </w:r>
      <w:proofErr w:type="gramEnd"/>
      <w:r>
        <w:rPr>
          <w:rFonts w:ascii="Century Gothic" w:hAnsi="Century Gothic" w:cs="Arial"/>
          <w:sz w:val="24"/>
          <w:szCs w:val="24"/>
        </w:rPr>
        <w:t xml:space="preserve">. </w:t>
      </w:r>
    </w:p>
    <w:p w:rsidR="002F71E6" w:rsidRPr="000E645D" w:rsidRDefault="002F71E6" w:rsidP="002F71E6">
      <w:pPr>
        <w:pStyle w:val="Prrafodelista"/>
        <w:tabs>
          <w:tab w:val="left" w:pos="1658"/>
        </w:tabs>
        <w:jc w:val="both"/>
        <w:rPr>
          <w:rFonts w:ascii="Century Gothic" w:hAnsi="Century Gothic" w:cs="Arial"/>
          <w:sz w:val="24"/>
          <w:szCs w:val="24"/>
        </w:rPr>
      </w:pPr>
    </w:p>
    <w:p w:rsidR="002F71E6" w:rsidRDefault="002F71E6" w:rsidP="002F71E6">
      <w:pPr>
        <w:pStyle w:val="Prrafodelista"/>
        <w:numPr>
          <w:ilvl w:val="0"/>
          <w:numId w:val="9"/>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de atención a los aspectos susceptibles de mejora. </w:t>
      </w:r>
    </w:p>
    <w:p w:rsidR="002F71E6" w:rsidRPr="0093724E" w:rsidRDefault="002F71E6" w:rsidP="0093724E">
      <w:pPr>
        <w:pStyle w:val="Prrafodelista"/>
        <w:tabs>
          <w:tab w:val="left" w:pos="1658"/>
        </w:tabs>
        <w:ind w:left="786"/>
        <w:jc w:val="both"/>
        <w:rPr>
          <w:rFonts w:ascii="Century Gothic" w:hAnsi="Century Gothic" w:cs="Arial"/>
          <w:sz w:val="24"/>
          <w:szCs w:val="24"/>
        </w:rPr>
      </w:pPr>
      <w:r>
        <w:rPr>
          <w:rFonts w:ascii="Century Gothic" w:hAnsi="Century Gothic" w:cs="Arial"/>
          <w:sz w:val="24"/>
          <w:szCs w:val="24"/>
        </w:rPr>
        <w:t xml:space="preserve">Publicar el Seguimiento de Recomendaciones directamente en el portal del Instituto. </w:t>
      </w: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7.-  Fuentes de Información y Anexos.</w:t>
      </w: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Anexo 1 </w:t>
      </w:r>
    </w:p>
    <w:p w:rsidR="002F71E6" w:rsidRPr="009A3176" w:rsidRDefault="002F71E6" w:rsidP="002F71E6">
      <w:pPr>
        <w:tabs>
          <w:tab w:val="left" w:pos="1658"/>
        </w:tabs>
        <w:jc w:val="both"/>
        <w:rPr>
          <w:rFonts w:ascii="Century Gothic" w:hAnsi="Century Gothic" w:cs="Arial"/>
          <w:sz w:val="24"/>
          <w:szCs w:val="24"/>
        </w:rPr>
      </w:pPr>
      <w:r w:rsidRPr="009A3176">
        <w:rPr>
          <w:rFonts w:ascii="Century Gothic" w:hAnsi="Century Gothic" w:cs="Arial"/>
          <w:sz w:val="24"/>
          <w:szCs w:val="24"/>
        </w:rPr>
        <w:t>Matriz de Indicadores de Resultados FONE 2do Trimestre 2017</w:t>
      </w:r>
    </w:p>
    <w:p w:rsidR="002F71E6" w:rsidRPr="009A3176" w:rsidRDefault="002F71E6" w:rsidP="002F71E6">
      <w:pPr>
        <w:tabs>
          <w:tab w:val="left" w:pos="1658"/>
        </w:tabs>
        <w:jc w:val="both"/>
        <w:rPr>
          <w:rFonts w:ascii="Century Gothic" w:hAnsi="Century Gothic" w:cs="Arial"/>
          <w:sz w:val="24"/>
          <w:szCs w:val="24"/>
        </w:rPr>
      </w:pPr>
      <w:r>
        <w:rPr>
          <w:rFonts w:ascii="Century Gothic" w:hAnsi="Century Gothic" w:cs="Arial"/>
          <w:b/>
          <w:sz w:val="24"/>
          <w:szCs w:val="24"/>
        </w:rPr>
        <w:t xml:space="preserve">Fuente: </w:t>
      </w:r>
      <w:hyperlink r:id="rId23" w:history="1">
        <w:r w:rsidRPr="009A3176">
          <w:rPr>
            <w:rStyle w:val="Hipervnculo"/>
            <w:rFonts w:ascii="Century Gothic" w:hAnsi="Century Gothic" w:cs="Arial"/>
            <w:sz w:val="24"/>
            <w:szCs w:val="24"/>
          </w:rPr>
          <w:t>http://www.transparenciapresupuestaria.gob.mx/es/PTP/Formato_Unico</w:t>
        </w:r>
      </w:hyperlink>
      <w:r w:rsidRPr="009A3176">
        <w:rPr>
          <w:rFonts w:ascii="Century Gothic" w:hAnsi="Century Gothic" w:cs="Arial"/>
          <w:sz w:val="24"/>
          <w:szCs w:val="24"/>
        </w:rPr>
        <w:t xml:space="preserve"> </w:t>
      </w: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Anexo 2 </w:t>
      </w:r>
    </w:p>
    <w:p w:rsidR="002F71E6" w:rsidRPr="009A3176" w:rsidRDefault="002F71E6" w:rsidP="002F71E6">
      <w:pPr>
        <w:tabs>
          <w:tab w:val="left" w:pos="1658"/>
        </w:tabs>
        <w:jc w:val="both"/>
        <w:rPr>
          <w:rFonts w:ascii="Century Gothic" w:hAnsi="Century Gothic" w:cs="Arial"/>
          <w:sz w:val="24"/>
          <w:szCs w:val="24"/>
        </w:rPr>
      </w:pPr>
      <w:r w:rsidRPr="009A3176">
        <w:rPr>
          <w:rFonts w:ascii="Century Gothic" w:hAnsi="Century Gothic" w:cs="Arial"/>
          <w:sz w:val="24"/>
          <w:szCs w:val="24"/>
        </w:rPr>
        <w:t xml:space="preserve">Ejercicio de Recursos Federales Transferidos al Estado, Informes sobre la Situación Económica, las Finanzas Públicas y la Deuda Pública 2do Trimestre 2017. </w:t>
      </w:r>
    </w:p>
    <w:p w:rsidR="002F71E6" w:rsidRDefault="00B64190" w:rsidP="002F71E6">
      <w:pPr>
        <w:tabs>
          <w:tab w:val="left" w:pos="1658"/>
        </w:tabs>
        <w:jc w:val="both"/>
        <w:rPr>
          <w:rFonts w:ascii="Century Gothic" w:hAnsi="Century Gothic" w:cs="Arial"/>
          <w:b/>
          <w:sz w:val="24"/>
          <w:szCs w:val="24"/>
        </w:rPr>
      </w:pPr>
      <w:hyperlink r:id="rId24" w:history="1">
        <w:r w:rsidR="002F71E6" w:rsidRPr="009A3176">
          <w:rPr>
            <w:rStyle w:val="Hipervnculo"/>
            <w:rFonts w:ascii="Century Gothic" w:hAnsi="Century Gothic" w:cs="Arial"/>
            <w:sz w:val="24"/>
            <w:szCs w:val="24"/>
          </w:rPr>
          <w:t>http://www.transparenciapresupuestaria.gob.mx/es/PTP/Formato_Unico</w:t>
        </w:r>
      </w:hyperlink>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Bibliografía consultada:</w:t>
      </w:r>
    </w:p>
    <w:p w:rsidR="002F71E6" w:rsidRDefault="002F71E6" w:rsidP="002F71E6">
      <w:pPr>
        <w:tabs>
          <w:tab w:val="left" w:pos="1658"/>
        </w:tabs>
        <w:jc w:val="both"/>
        <w:rPr>
          <w:rFonts w:ascii="Century Gothic" w:hAnsi="Century Gothic" w:cs="Arial"/>
          <w:b/>
          <w:sz w:val="24"/>
          <w:szCs w:val="24"/>
        </w:rPr>
      </w:pPr>
    </w:p>
    <w:p w:rsidR="002F71E6" w:rsidRPr="00830EA1" w:rsidRDefault="002F71E6" w:rsidP="002F71E6">
      <w:pPr>
        <w:pStyle w:val="Prrafodelista"/>
        <w:numPr>
          <w:ilvl w:val="0"/>
          <w:numId w:val="6"/>
        </w:numPr>
        <w:tabs>
          <w:tab w:val="left" w:pos="1658"/>
        </w:tabs>
        <w:jc w:val="both"/>
        <w:rPr>
          <w:rFonts w:ascii="Century Gothic" w:hAnsi="Century Gothic" w:cs="Arial"/>
          <w:sz w:val="24"/>
          <w:szCs w:val="24"/>
        </w:rPr>
      </w:pPr>
      <w:r w:rsidRPr="00830EA1">
        <w:rPr>
          <w:rFonts w:ascii="Century Gothic" w:hAnsi="Century Gothic" w:cs="Arial"/>
          <w:sz w:val="24"/>
          <w:szCs w:val="24"/>
        </w:rPr>
        <w:lastRenderedPageBreak/>
        <w:t>Constitución Política de loes Estados Unidos Mexicanos.</w:t>
      </w:r>
    </w:p>
    <w:p w:rsidR="002F71E6" w:rsidRPr="00830EA1" w:rsidRDefault="002F71E6" w:rsidP="002F71E6">
      <w:pPr>
        <w:pStyle w:val="Prrafodelista"/>
        <w:numPr>
          <w:ilvl w:val="0"/>
          <w:numId w:val="6"/>
        </w:numPr>
        <w:tabs>
          <w:tab w:val="left" w:pos="1658"/>
        </w:tabs>
        <w:jc w:val="both"/>
        <w:rPr>
          <w:rFonts w:ascii="Century Gothic" w:hAnsi="Century Gothic" w:cs="Arial"/>
          <w:sz w:val="24"/>
          <w:szCs w:val="24"/>
        </w:rPr>
      </w:pPr>
      <w:r w:rsidRPr="00830EA1">
        <w:rPr>
          <w:rFonts w:ascii="Century Gothic" w:hAnsi="Century Gothic" w:cs="Arial"/>
          <w:sz w:val="24"/>
          <w:szCs w:val="24"/>
        </w:rPr>
        <w:t>Ley de Coordinación Fiscal.</w:t>
      </w:r>
    </w:p>
    <w:p w:rsidR="002F71E6" w:rsidRPr="00166380" w:rsidRDefault="002F71E6" w:rsidP="002F71E6">
      <w:pPr>
        <w:pStyle w:val="Prrafodelista"/>
        <w:numPr>
          <w:ilvl w:val="0"/>
          <w:numId w:val="6"/>
        </w:numPr>
        <w:tabs>
          <w:tab w:val="left" w:pos="1658"/>
        </w:tabs>
        <w:jc w:val="both"/>
        <w:rPr>
          <w:rFonts w:ascii="Century Gothic" w:hAnsi="Century Gothic" w:cs="Arial"/>
          <w:b/>
          <w:sz w:val="24"/>
          <w:szCs w:val="24"/>
        </w:rPr>
      </w:pPr>
      <w:r>
        <w:rPr>
          <w:rFonts w:ascii="Century Gothic" w:hAnsi="Century Gothic" w:cs="Arial"/>
          <w:sz w:val="24"/>
          <w:szCs w:val="24"/>
        </w:rPr>
        <w:t>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2F71E6" w:rsidRPr="00166380" w:rsidRDefault="002F71E6" w:rsidP="002F71E6">
      <w:pPr>
        <w:pStyle w:val="Prrafodelista"/>
        <w:numPr>
          <w:ilvl w:val="0"/>
          <w:numId w:val="6"/>
        </w:numPr>
        <w:tabs>
          <w:tab w:val="left" w:pos="1658"/>
        </w:tabs>
        <w:jc w:val="both"/>
        <w:rPr>
          <w:rFonts w:ascii="Century Gothic" w:hAnsi="Century Gothic" w:cs="Arial"/>
          <w:b/>
          <w:sz w:val="24"/>
          <w:szCs w:val="24"/>
        </w:rPr>
      </w:pPr>
      <w:r>
        <w:rPr>
          <w:rFonts w:ascii="Century Gothic" w:hAnsi="Century Gothic" w:cs="Arial"/>
          <w:sz w:val="24"/>
          <w:szCs w:val="24"/>
        </w:rPr>
        <w:t xml:space="preserve">Lineamientos del Gasto de Operación del Fondo de Aportaciones para la Nómina Educativa y Gasto Operativo. </w:t>
      </w:r>
    </w:p>
    <w:p w:rsidR="002F71E6" w:rsidRPr="00166380" w:rsidRDefault="002F71E6" w:rsidP="002F71E6">
      <w:pPr>
        <w:pStyle w:val="Prrafodelista"/>
        <w:tabs>
          <w:tab w:val="left" w:pos="1658"/>
        </w:tabs>
        <w:jc w:val="both"/>
        <w:rPr>
          <w:rFonts w:ascii="Century Gothic" w:hAnsi="Century Gothic" w:cs="Arial"/>
          <w:b/>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Fuentes electrónicas consultadas. </w:t>
      </w:r>
    </w:p>
    <w:p w:rsidR="002F71E6" w:rsidRDefault="002F71E6" w:rsidP="002F71E6">
      <w:pPr>
        <w:tabs>
          <w:tab w:val="left" w:pos="1658"/>
        </w:tabs>
        <w:jc w:val="both"/>
        <w:rPr>
          <w:rFonts w:ascii="Century Gothic" w:hAnsi="Century Gothic" w:cs="Arial"/>
          <w:b/>
          <w:sz w:val="24"/>
          <w:szCs w:val="24"/>
        </w:rPr>
      </w:pPr>
    </w:p>
    <w:p w:rsidR="002F71E6" w:rsidRPr="00830EA1" w:rsidRDefault="002F71E6" w:rsidP="002F71E6">
      <w:pPr>
        <w:pStyle w:val="Prrafodelista"/>
        <w:numPr>
          <w:ilvl w:val="0"/>
          <w:numId w:val="7"/>
        </w:numPr>
        <w:tabs>
          <w:tab w:val="left" w:pos="1658"/>
        </w:tabs>
        <w:jc w:val="both"/>
        <w:rPr>
          <w:rFonts w:ascii="Century Gothic" w:hAnsi="Century Gothic" w:cs="Arial"/>
          <w:b/>
          <w:sz w:val="24"/>
          <w:szCs w:val="24"/>
        </w:rPr>
      </w:pPr>
      <w:r>
        <w:rPr>
          <w:rFonts w:ascii="Century Gothic" w:hAnsi="Century Gothic" w:cs="Arial"/>
          <w:sz w:val="24"/>
          <w:szCs w:val="24"/>
        </w:rPr>
        <w:t xml:space="preserve">Instituto Nacional de Estadística y Geografía (INEGI). México en cifras. Baja California (02) </w:t>
      </w:r>
    </w:p>
    <w:p w:rsidR="002F71E6" w:rsidRPr="00830EA1" w:rsidRDefault="00B64190" w:rsidP="002F71E6">
      <w:pPr>
        <w:tabs>
          <w:tab w:val="left" w:pos="1658"/>
        </w:tabs>
        <w:ind w:left="720"/>
        <w:jc w:val="both"/>
        <w:rPr>
          <w:rFonts w:ascii="Century Gothic" w:hAnsi="Century Gothic" w:cs="Arial"/>
          <w:sz w:val="24"/>
          <w:szCs w:val="24"/>
        </w:rPr>
      </w:pPr>
      <w:hyperlink r:id="rId25" w:history="1">
        <w:r w:rsidR="002F71E6" w:rsidRPr="00C40EE8">
          <w:rPr>
            <w:rStyle w:val="Hipervnculo"/>
            <w:rFonts w:ascii="Century Gothic" w:hAnsi="Century Gothic" w:cs="Arial"/>
            <w:sz w:val="24"/>
            <w:szCs w:val="24"/>
          </w:rPr>
          <w:t>http://www.beta.inegi.org.mx/app/areasgeograficas/?ag=02</w:t>
        </w:r>
      </w:hyperlink>
      <w:r w:rsidR="002F71E6">
        <w:rPr>
          <w:rFonts w:ascii="Century Gothic" w:hAnsi="Century Gothic" w:cs="Arial"/>
          <w:sz w:val="24"/>
          <w:szCs w:val="24"/>
        </w:rPr>
        <w:t xml:space="preserve"> </w:t>
      </w:r>
    </w:p>
    <w:p w:rsidR="002F71E6" w:rsidRPr="00830EA1" w:rsidRDefault="002F71E6" w:rsidP="002F71E6">
      <w:pPr>
        <w:pStyle w:val="Prrafodelista"/>
        <w:numPr>
          <w:ilvl w:val="0"/>
          <w:numId w:val="7"/>
        </w:numPr>
        <w:tabs>
          <w:tab w:val="left" w:pos="1010"/>
        </w:tabs>
        <w:jc w:val="both"/>
        <w:rPr>
          <w:rFonts w:ascii="Century Gothic" w:hAnsi="Century Gothic" w:cs="Arial"/>
          <w:b/>
          <w:sz w:val="24"/>
          <w:szCs w:val="24"/>
        </w:rPr>
      </w:pPr>
      <w:r>
        <w:rPr>
          <w:rFonts w:ascii="Century Gothic" w:hAnsi="Century Gothic" w:cs="Arial"/>
          <w:sz w:val="24"/>
          <w:szCs w:val="24"/>
        </w:rPr>
        <w:t xml:space="preserve">Transparencia Presupuestaria, Observatorio del gasto. Ejercicio, destino y resultados de los recursos federales transferidos. Matrices de Indicadores de Resultados Vigentes. </w:t>
      </w:r>
    </w:p>
    <w:p w:rsidR="002F71E6" w:rsidRDefault="00B64190" w:rsidP="002F71E6">
      <w:pPr>
        <w:pStyle w:val="Prrafodelista"/>
        <w:tabs>
          <w:tab w:val="left" w:pos="1010"/>
        </w:tabs>
        <w:jc w:val="both"/>
        <w:rPr>
          <w:rFonts w:ascii="Century Gothic" w:hAnsi="Century Gothic" w:cs="Arial"/>
          <w:sz w:val="24"/>
          <w:szCs w:val="24"/>
        </w:rPr>
      </w:pPr>
      <w:hyperlink r:id="rId26" w:history="1">
        <w:r w:rsidR="002F71E6" w:rsidRPr="00830EA1">
          <w:rPr>
            <w:rStyle w:val="Hipervnculo"/>
            <w:rFonts w:ascii="Century Gothic" w:hAnsi="Century Gothic" w:cs="Arial"/>
            <w:sz w:val="24"/>
            <w:szCs w:val="24"/>
          </w:rPr>
          <w:t>http://www.transparenciapresupuestaria.gob.mx/es/PTP/Formato_Unico</w:t>
        </w:r>
      </w:hyperlink>
      <w:r w:rsidR="002F71E6" w:rsidRPr="00830EA1">
        <w:rPr>
          <w:rFonts w:ascii="Century Gothic" w:hAnsi="Century Gothic" w:cs="Arial"/>
          <w:sz w:val="24"/>
          <w:szCs w:val="24"/>
        </w:rPr>
        <w:t xml:space="preserve"> </w:t>
      </w:r>
    </w:p>
    <w:p w:rsidR="002F71E6" w:rsidRDefault="002F71E6" w:rsidP="002F71E6">
      <w:pPr>
        <w:pStyle w:val="Prrafodelista"/>
        <w:tabs>
          <w:tab w:val="left" w:pos="1010"/>
        </w:tabs>
        <w:jc w:val="both"/>
        <w:rPr>
          <w:rFonts w:ascii="Century Gothic" w:hAnsi="Century Gothic" w:cs="Arial"/>
          <w:sz w:val="24"/>
          <w:szCs w:val="24"/>
        </w:rPr>
      </w:pPr>
    </w:p>
    <w:p w:rsidR="002F71E6" w:rsidRPr="00830EA1" w:rsidRDefault="002F71E6" w:rsidP="002F71E6">
      <w:pPr>
        <w:pStyle w:val="Prrafodelista"/>
        <w:numPr>
          <w:ilvl w:val="0"/>
          <w:numId w:val="7"/>
        </w:numPr>
        <w:tabs>
          <w:tab w:val="left" w:pos="1010"/>
        </w:tabs>
        <w:jc w:val="both"/>
        <w:rPr>
          <w:rFonts w:ascii="Century Gothic" w:hAnsi="Century Gothic" w:cs="Arial"/>
          <w:b/>
          <w:sz w:val="24"/>
          <w:szCs w:val="24"/>
        </w:rPr>
      </w:pPr>
      <w:r>
        <w:rPr>
          <w:rFonts w:ascii="Century Gothic" w:hAnsi="Century Gothic" w:cs="Arial"/>
          <w:sz w:val="24"/>
          <w:szCs w:val="24"/>
        </w:rPr>
        <w:t>Secretaría de Educación Pública. Sistema Nacional de Información Estadística Educativa. Estadística e Indicadores Educativos por Entidad Federativa. 02 Baja California.</w:t>
      </w:r>
    </w:p>
    <w:p w:rsidR="002F71E6" w:rsidRPr="00830EA1" w:rsidRDefault="00B64190" w:rsidP="002F71E6">
      <w:pPr>
        <w:tabs>
          <w:tab w:val="left" w:pos="1010"/>
        </w:tabs>
        <w:ind w:left="720"/>
        <w:jc w:val="both"/>
        <w:rPr>
          <w:rFonts w:ascii="Century Gothic" w:hAnsi="Century Gothic" w:cs="Arial"/>
          <w:sz w:val="24"/>
          <w:szCs w:val="24"/>
        </w:rPr>
      </w:pPr>
      <w:hyperlink r:id="rId27" w:history="1">
        <w:r w:rsidR="002F71E6" w:rsidRPr="00C40EE8">
          <w:rPr>
            <w:rStyle w:val="Hipervnculo"/>
            <w:rFonts w:ascii="Century Gothic" w:hAnsi="Century Gothic" w:cs="Arial"/>
            <w:sz w:val="24"/>
            <w:szCs w:val="24"/>
          </w:rPr>
          <w:t>http://www.snie.sep.gob.mx/indicadores_x_entidad_federativa.html</w:t>
        </w:r>
      </w:hyperlink>
      <w:r w:rsidR="002F71E6">
        <w:rPr>
          <w:rFonts w:ascii="Century Gothic" w:hAnsi="Century Gothic" w:cs="Arial"/>
          <w:sz w:val="24"/>
          <w:szCs w:val="24"/>
        </w:rPr>
        <w:t xml:space="preserve"> </w:t>
      </w:r>
    </w:p>
    <w:p w:rsidR="002F71E6" w:rsidRPr="005672FC" w:rsidRDefault="002F71E6" w:rsidP="002F71E6">
      <w:pPr>
        <w:pStyle w:val="Prrafodelista"/>
        <w:numPr>
          <w:ilvl w:val="0"/>
          <w:numId w:val="7"/>
        </w:numPr>
        <w:tabs>
          <w:tab w:val="left" w:pos="1658"/>
        </w:tabs>
        <w:jc w:val="both"/>
        <w:rPr>
          <w:rFonts w:ascii="Century Gothic" w:hAnsi="Century Gothic" w:cs="Arial"/>
          <w:b/>
          <w:sz w:val="24"/>
          <w:szCs w:val="24"/>
        </w:rPr>
      </w:pPr>
      <w:r>
        <w:rPr>
          <w:rFonts w:ascii="Century Gothic" w:hAnsi="Century Gothic" w:cs="Arial"/>
          <w:sz w:val="24"/>
          <w:szCs w:val="24"/>
        </w:rPr>
        <w:t xml:space="preserve">Monitor de Seguimiento Ciudadano. Avance de Indicadores. Principales Indicadores. Educación para la vida. </w:t>
      </w:r>
    </w:p>
    <w:p w:rsidR="002F71E6" w:rsidRDefault="00B64190" w:rsidP="002F71E6">
      <w:pPr>
        <w:pStyle w:val="Prrafodelista"/>
        <w:tabs>
          <w:tab w:val="left" w:pos="1658"/>
        </w:tabs>
        <w:jc w:val="both"/>
        <w:rPr>
          <w:rFonts w:ascii="Century Gothic" w:hAnsi="Century Gothic" w:cs="Arial"/>
          <w:sz w:val="24"/>
          <w:szCs w:val="24"/>
        </w:rPr>
      </w:pPr>
      <w:hyperlink r:id="rId28" w:history="1">
        <w:r w:rsidR="002F71E6" w:rsidRPr="00FF3AE8">
          <w:rPr>
            <w:rStyle w:val="Hipervnculo"/>
            <w:rFonts w:ascii="Century Gothic" w:hAnsi="Century Gothic" w:cs="Arial"/>
            <w:sz w:val="24"/>
            <w:szCs w:val="24"/>
          </w:rPr>
          <w:t>http://indicadores.bajacalifornia.gob.mx/consultaciudadana/listado-indicadores-17.jsp?sector=5</w:t>
        </w:r>
      </w:hyperlink>
      <w:r w:rsidR="002F71E6" w:rsidRPr="00FF3AE8">
        <w:rPr>
          <w:rFonts w:ascii="Century Gothic" w:hAnsi="Century Gothic" w:cs="Arial"/>
          <w:sz w:val="24"/>
          <w:szCs w:val="24"/>
        </w:rPr>
        <w:t xml:space="preserve"> </w:t>
      </w:r>
    </w:p>
    <w:p w:rsidR="002F71E6" w:rsidRDefault="002F71E6" w:rsidP="002F71E6">
      <w:pPr>
        <w:pStyle w:val="Prrafodelista"/>
        <w:tabs>
          <w:tab w:val="left" w:pos="1658"/>
        </w:tabs>
        <w:jc w:val="both"/>
        <w:rPr>
          <w:rFonts w:ascii="Century Gothic" w:hAnsi="Century Gothic" w:cs="Arial"/>
          <w:sz w:val="24"/>
          <w:szCs w:val="24"/>
        </w:rPr>
      </w:pPr>
    </w:p>
    <w:p w:rsidR="002F71E6" w:rsidRDefault="002F71E6" w:rsidP="002F71E6">
      <w:pPr>
        <w:pStyle w:val="Prrafodelista"/>
        <w:numPr>
          <w:ilvl w:val="0"/>
          <w:numId w:val="7"/>
        </w:numPr>
        <w:tabs>
          <w:tab w:val="left" w:pos="1658"/>
        </w:tabs>
        <w:jc w:val="both"/>
        <w:rPr>
          <w:rFonts w:ascii="Century Gothic" w:hAnsi="Century Gothic" w:cs="Arial"/>
          <w:sz w:val="24"/>
          <w:szCs w:val="24"/>
        </w:rPr>
      </w:pPr>
      <w:r w:rsidRPr="00FF3AE8">
        <w:rPr>
          <w:rFonts w:ascii="Century Gothic" w:hAnsi="Century Gothic" w:cs="Arial"/>
          <w:sz w:val="24"/>
          <w:szCs w:val="24"/>
        </w:rPr>
        <w:t xml:space="preserve">Monitor de Seguimiento Ciudadano. Ejercicio de Recursos Federales Transferidos al Estado Registrados (Sistema del Formato Único). </w:t>
      </w:r>
      <w:r w:rsidRPr="00FF3AE8">
        <w:rPr>
          <w:rFonts w:ascii="Century Gothic" w:hAnsi="Century Gothic" w:cs="Arial"/>
          <w:sz w:val="24"/>
          <w:szCs w:val="24"/>
        </w:rPr>
        <w:lastRenderedPageBreak/>
        <w:t xml:space="preserve">Informes sobre la Situación Económica, las Finanzas Públicas y la Deuda Pública. </w:t>
      </w:r>
      <w:r>
        <w:rPr>
          <w:rFonts w:ascii="Century Gothic" w:hAnsi="Century Gothic" w:cs="Arial"/>
          <w:sz w:val="24"/>
          <w:szCs w:val="24"/>
        </w:rPr>
        <w:t xml:space="preserve">2017. 2do Trimestre. </w:t>
      </w:r>
    </w:p>
    <w:p w:rsidR="002F71E6" w:rsidRDefault="00B64190" w:rsidP="002F71E6">
      <w:pPr>
        <w:pStyle w:val="Prrafodelista"/>
        <w:tabs>
          <w:tab w:val="left" w:pos="1658"/>
        </w:tabs>
        <w:jc w:val="both"/>
        <w:rPr>
          <w:rFonts w:ascii="Century Gothic" w:hAnsi="Century Gothic" w:cs="Arial"/>
          <w:sz w:val="24"/>
          <w:szCs w:val="24"/>
        </w:rPr>
      </w:pPr>
      <w:hyperlink r:id="rId29" w:anchor="CP" w:history="1">
        <w:r w:rsidR="002F71E6" w:rsidRPr="00C40EE8">
          <w:rPr>
            <w:rStyle w:val="Hipervnculo"/>
            <w:rFonts w:ascii="Century Gothic" w:hAnsi="Century Gothic" w:cs="Arial"/>
            <w:sz w:val="24"/>
            <w:szCs w:val="24"/>
          </w:rPr>
          <w:t>http://indicadores.bajacalifornia.gob.mx/ejercicio_recursos-16.jsp#CP</w:t>
        </w:r>
      </w:hyperlink>
      <w:r w:rsidR="002F71E6">
        <w:rPr>
          <w:rFonts w:ascii="Century Gothic" w:hAnsi="Century Gothic" w:cs="Arial"/>
          <w:sz w:val="24"/>
          <w:szCs w:val="24"/>
        </w:rPr>
        <w:t xml:space="preserve"> </w:t>
      </w:r>
    </w:p>
    <w:p w:rsidR="002F71E6" w:rsidRDefault="002F71E6" w:rsidP="002F71E6">
      <w:pPr>
        <w:pStyle w:val="Prrafodelista"/>
        <w:tabs>
          <w:tab w:val="left" w:pos="1658"/>
        </w:tabs>
        <w:jc w:val="both"/>
        <w:rPr>
          <w:rFonts w:ascii="Century Gothic" w:hAnsi="Century Gothic" w:cs="Arial"/>
          <w:sz w:val="24"/>
          <w:szCs w:val="24"/>
        </w:rPr>
      </w:pPr>
    </w:p>
    <w:p w:rsidR="002F71E6" w:rsidRDefault="002F71E6" w:rsidP="002F71E6">
      <w:pPr>
        <w:pStyle w:val="Prrafodelista"/>
        <w:numPr>
          <w:ilvl w:val="0"/>
          <w:numId w:val="7"/>
        </w:numPr>
        <w:tabs>
          <w:tab w:val="left" w:pos="1658"/>
        </w:tabs>
        <w:jc w:val="both"/>
        <w:rPr>
          <w:rFonts w:ascii="Century Gothic" w:hAnsi="Century Gothic" w:cs="Arial"/>
          <w:sz w:val="24"/>
          <w:szCs w:val="24"/>
        </w:rPr>
      </w:pPr>
      <w:r>
        <w:rPr>
          <w:rFonts w:ascii="Century Gothic" w:hAnsi="Century Gothic" w:cs="Arial"/>
          <w:sz w:val="24"/>
          <w:szCs w:val="24"/>
        </w:rPr>
        <w:t xml:space="preserve">Portal de Transparencia de Baja California. </w:t>
      </w:r>
    </w:p>
    <w:p w:rsidR="002F71E6" w:rsidRDefault="00B64190" w:rsidP="002F71E6">
      <w:pPr>
        <w:tabs>
          <w:tab w:val="left" w:pos="1658"/>
        </w:tabs>
        <w:ind w:left="720"/>
        <w:jc w:val="both"/>
        <w:rPr>
          <w:rFonts w:ascii="Century Gothic" w:hAnsi="Century Gothic" w:cs="Arial"/>
          <w:sz w:val="24"/>
          <w:szCs w:val="24"/>
        </w:rPr>
      </w:pPr>
      <w:hyperlink r:id="rId30" w:history="1">
        <w:r w:rsidR="002F71E6" w:rsidRPr="00C40EE8">
          <w:rPr>
            <w:rStyle w:val="Hipervnculo"/>
            <w:rFonts w:ascii="Century Gothic" w:hAnsi="Century Gothic" w:cs="Arial"/>
            <w:sz w:val="24"/>
            <w:szCs w:val="24"/>
          </w:rPr>
          <w:t>http://dceg.bajacalifornia.gob.mx/sasip/frmPublicacionesDeOficioLeyAnterior.aspx?id=73</w:t>
        </w:r>
      </w:hyperlink>
      <w:r w:rsidR="002F71E6">
        <w:rPr>
          <w:rFonts w:ascii="Century Gothic" w:hAnsi="Century Gothic" w:cs="Arial"/>
          <w:sz w:val="24"/>
          <w:szCs w:val="24"/>
        </w:rPr>
        <w:t xml:space="preserve"> </w:t>
      </w:r>
    </w:p>
    <w:p w:rsidR="002F71E6" w:rsidRDefault="002F71E6" w:rsidP="002F71E6">
      <w:pPr>
        <w:pStyle w:val="Prrafodelista"/>
        <w:numPr>
          <w:ilvl w:val="0"/>
          <w:numId w:val="7"/>
        </w:numPr>
        <w:tabs>
          <w:tab w:val="left" w:pos="1658"/>
        </w:tabs>
        <w:jc w:val="both"/>
        <w:rPr>
          <w:rFonts w:ascii="Century Gothic" w:hAnsi="Century Gothic" w:cs="Arial"/>
          <w:sz w:val="24"/>
          <w:szCs w:val="24"/>
        </w:rPr>
      </w:pPr>
      <w:r>
        <w:rPr>
          <w:rFonts w:ascii="Century Gothic" w:hAnsi="Century Gothic" w:cs="Arial"/>
          <w:sz w:val="24"/>
          <w:szCs w:val="24"/>
        </w:rPr>
        <w:t xml:space="preserve">Secretaría de Educación y Bienestar Social. Sistema Educativo Estatal. </w:t>
      </w:r>
    </w:p>
    <w:p w:rsidR="002F71E6" w:rsidRDefault="00B64190" w:rsidP="002F71E6">
      <w:pPr>
        <w:tabs>
          <w:tab w:val="left" w:pos="1658"/>
        </w:tabs>
        <w:ind w:left="708"/>
        <w:jc w:val="both"/>
        <w:rPr>
          <w:rFonts w:ascii="Century Gothic" w:hAnsi="Century Gothic" w:cs="Arial"/>
          <w:sz w:val="24"/>
          <w:szCs w:val="24"/>
        </w:rPr>
      </w:pPr>
      <w:hyperlink r:id="rId31" w:history="1">
        <w:r w:rsidR="002F71E6" w:rsidRPr="00C40EE8">
          <w:rPr>
            <w:rStyle w:val="Hipervnculo"/>
            <w:rFonts w:ascii="Century Gothic" w:hAnsi="Century Gothic" w:cs="Arial"/>
            <w:sz w:val="24"/>
            <w:szCs w:val="24"/>
          </w:rPr>
          <w:t>http://www.educacionbc.edu.mx/</w:t>
        </w:r>
      </w:hyperlink>
      <w:r w:rsidR="002F71E6">
        <w:rPr>
          <w:rFonts w:ascii="Century Gothic" w:hAnsi="Century Gothic" w:cs="Arial"/>
          <w:sz w:val="24"/>
          <w:szCs w:val="24"/>
        </w:rPr>
        <w:t xml:space="preserve"> </w:t>
      </w:r>
    </w:p>
    <w:p w:rsidR="002F71E6" w:rsidRDefault="002F71E6" w:rsidP="002F71E6">
      <w:pPr>
        <w:pStyle w:val="Prrafodelista"/>
        <w:numPr>
          <w:ilvl w:val="0"/>
          <w:numId w:val="7"/>
        </w:numPr>
        <w:tabs>
          <w:tab w:val="left" w:pos="1658"/>
        </w:tabs>
        <w:jc w:val="both"/>
        <w:rPr>
          <w:rFonts w:ascii="Century Gothic" w:hAnsi="Century Gothic" w:cs="Arial"/>
          <w:sz w:val="24"/>
          <w:szCs w:val="24"/>
        </w:rPr>
      </w:pPr>
      <w:r w:rsidRPr="005672FC">
        <w:rPr>
          <w:rFonts w:ascii="Century Gothic" w:hAnsi="Century Gothic" w:cs="Arial"/>
          <w:sz w:val="24"/>
          <w:szCs w:val="24"/>
        </w:rPr>
        <w:t>Consejo Nacional de Evaluación de la Política de Desarrollo Social. (CONEVAL).  Evaluación de Programas Sociales.  Metodol</w:t>
      </w:r>
      <w:r>
        <w:rPr>
          <w:rFonts w:ascii="Century Gothic" w:hAnsi="Century Gothic" w:cs="Arial"/>
          <w:sz w:val="24"/>
          <w:szCs w:val="24"/>
        </w:rPr>
        <w:t>o</w:t>
      </w:r>
      <w:r w:rsidRPr="005672FC">
        <w:rPr>
          <w:rFonts w:ascii="Century Gothic" w:hAnsi="Century Gothic" w:cs="Arial"/>
          <w:sz w:val="24"/>
          <w:szCs w:val="24"/>
        </w:rPr>
        <w:t>gía de las  Evaluaciones</w:t>
      </w:r>
      <w:r>
        <w:rPr>
          <w:rFonts w:ascii="Century Gothic" w:hAnsi="Century Gothic" w:cs="Arial"/>
          <w:sz w:val="24"/>
          <w:szCs w:val="24"/>
        </w:rPr>
        <w:t xml:space="preserve">. Evaluación Específica de Desempeño. Términos de Referencia para la Evaluación Específica de Desempeño. </w:t>
      </w:r>
    </w:p>
    <w:p w:rsidR="002F71E6" w:rsidRDefault="00B64190" w:rsidP="002F71E6">
      <w:pPr>
        <w:tabs>
          <w:tab w:val="left" w:pos="1658"/>
        </w:tabs>
        <w:ind w:left="708"/>
        <w:jc w:val="both"/>
        <w:rPr>
          <w:rFonts w:ascii="Century Gothic" w:hAnsi="Century Gothic" w:cs="Arial"/>
          <w:sz w:val="24"/>
          <w:szCs w:val="24"/>
        </w:rPr>
      </w:pPr>
      <w:hyperlink r:id="rId32" w:history="1">
        <w:r w:rsidR="002F71E6" w:rsidRPr="00C40EE8">
          <w:rPr>
            <w:rStyle w:val="Hipervnculo"/>
            <w:rFonts w:ascii="Century Gothic" w:hAnsi="Century Gothic" w:cs="Arial"/>
            <w:sz w:val="24"/>
            <w:szCs w:val="24"/>
          </w:rPr>
          <w:t>http://www.coneval.org.mx/Evaluacion/MDE/Paginas/evaluacion_especifica_desempeno.aspx</w:t>
        </w:r>
      </w:hyperlink>
      <w:r w:rsidR="002F71E6">
        <w:rPr>
          <w:rFonts w:ascii="Century Gothic" w:hAnsi="Century Gothic" w:cs="Arial"/>
          <w:sz w:val="24"/>
          <w:szCs w:val="24"/>
        </w:rPr>
        <w:t xml:space="preserve"> </w:t>
      </w:r>
    </w:p>
    <w:p w:rsidR="002F71E6" w:rsidRDefault="002F71E6"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Default="0093724E" w:rsidP="002F71E6">
      <w:pPr>
        <w:pStyle w:val="Prrafodelista"/>
        <w:tabs>
          <w:tab w:val="left" w:pos="1658"/>
        </w:tabs>
        <w:jc w:val="both"/>
        <w:rPr>
          <w:rFonts w:ascii="Century Gothic" w:hAnsi="Century Gothic" w:cs="Arial"/>
          <w:sz w:val="24"/>
          <w:szCs w:val="24"/>
        </w:rPr>
      </w:pPr>
    </w:p>
    <w:p w:rsidR="0093724E" w:rsidRPr="009A3176" w:rsidRDefault="0093724E" w:rsidP="002F71E6">
      <w:pPr>
        <w:pStyle w:val="Prrafodelista"/>
        <w:tabs>
          <w:tab w:val="left" w:pos="1658"/>
        </w:tabs>
        <w:jc w:val="both"/>
        <w:rPr>
          <w:rFonts w:ascii="Century Gothic" w:hAnsi="Century Gothic" w:cs="Arial"/>
          <w:sz w:val="24"/>
          <w:szCs w:val="24"/>
        </w:rPr>
      </w:pPr>
    </w:p>
    <w:p w:rsidR="002F71E6" w:rsidRDefault="002F71E6" w:rsidP="002F71E6">
      <w:pPr>
        <w:tabs>
          <w:tab w:val="left" w:pos="1658"/>
        </w:tabs>
        <w:jc w:val="both"/>
        <w:rPr>
          <w:rFonts w:ascii="Century Gothic" w:hAnsi="Century Gothic" w:cs="Arial"/>
          <w:b/>
          <w:sz w:val="24"/>
          <w:szCs w:val="24"/>
        </w:rPr>
      </w:pPr>
      <w:r>
        <w:rPr>
          <w:rFonts w:ascii="Century Gothic" w:hAnsi="Century Gothic" w:cs="Arial"/>
          <w:b/>
          <w:sz w:val="24"/>
          <w:szCs w:val="24"/>
        </w:rPr>
        <w:t xml:space="preserve">FORMATO PARA LA DIFUSIÓN DE LOS RESULTADOS DE LA EVALUACIÓN </w:t>
      </w:r>
    </w:p>
    <w:tbl>
      <w:tblPr>
        <w:tblStyle w:val="Tablaconcuadrcula"/>
        <w:tblW w:w="0" w:type="auto"/>
        <w:tblLook w:val="04A0" w:firstRow="1" w:lastRow="0" w:firstColumn="1" w:lastColumn="0" w:noHBand="0" w:noVBand="1"/>
      </w:tblPr>
      <w:tblGrid>
        <w:gridCol w:w="8978"/>
      </w:tblGrid>
      <w:tr w:rsidR="002F71E6" w:rsidTr="000D38C7">
        <w:tc>
          <w:tcPr>
            <w:tcW w:w="8978" w:type="dxa"/>
            <w:shd w:val="clear" w:color="auto" w:fill="B6DDE8" w:themeFill="accent5" w:themeFillTint="66"/>
          </w:tcPr>
          <w:p w:rsidR="002F71E6" w:rsidRPr="008365B0"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DESCRIPCIÓN DE LA EVALUACIÓN</w:t>
            </w:r>
          </w:p>
        </w:tc>
      </w:tr>
      <w:tr w:rsidR="002F71E6" w:rsidTr="000D38C7">
        <w:tc>
          <w:tcPr>
            <w:tcW w:w="8978" w:type="dxa"/>
          </w:tcPr>
          <w:p w:rsidR="002F71E6" w:rsidRPr="008365B0" w:rsidRDefault="002F71E6" w:rsidP="000D38C7">
            <w:pPr>
              <w:pStyle w:val="Prrafodelista"/>
              <w:numPr>
                <w:ilvl w:val="1"/>
                <w:numId w:val="5"/>
              </w:numPr>
              <w:tabs>
                <w:tab w:val="left" w:pos="1658"/>
              </w:tabs>
              <w:jc w:val="both"/>
              <w:rPr>
                <w:rFonts w:ascii="Century Gothic" w:hAnsi="Century Gothic" w:cs="Arial"/>
                <w:b/>
                <w:sz w:val="24"/>
                <w:szCs w:val="24"/>
              </w:rPr>
            </w:pPr>
            <w:r w:rsidRPr="008365B0">
              <w:rPr>
                <w:rFonts w:ascii="Century Gothic" w:hAnsi="Century Gothic" w:cs="Arial"/>
                <w:b/>
                <w:sz w:val="24"/>
                <w:szCs w:val="24"/>
              </w:rPr>
              <w:t>Nombre completo de la evaluación:</w:t>
            </w:r>
            <w:r w:rsidRPr="008E2A81">
              <w:rPr>
                <w:rFonts w:ascii="Century Gothic" w:hAnsi="Century Gothic" w:cs="Arial"/>
                <w:sz w:val="24"/>
                <w:szCs w:val="24"/>
              </w:rPr>
              <w:t xml:space="preserve"> Evaluación Específica del Desempeño del Fondo de Aportaciones para la Nómina Educativa y Gasto Operativo.</w:t>
            </w:r>
            <w:r>
              <w:rPr>
                <w:rFonts w:ascii="Century Gothic" w:hAnsi="Century Gothic" w:cs="Arial"/>
                <w:b/>
                <w:sz w:val="24"/>
                <w:szCs w:val="24"/>
              </w:rPr>
              <w:t xml:space="preserve"> </w:t>
            </w:r>
          </w:p>
        </w:tc>
      </w:tr>
      <w:tr w:rsidR="002F71E6" w:rsidTr="000D38C7">
        <w:tc>
          <w:tcPr>
            <w:tcW w:w="8978" w:type="dxa"/>
          </w:tcPr>
          <w:p w:rsidR="002F71E6" w:rsidRPr="008365B0"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Fecha de inicio de la evaluación </w:t>
            </w:r>
            <w:r w:rsidR="007D3A0A" w:rsidRPr="000B40C5">
              <w:rPr>
                <w:rFonts w:ascii="Century Gothic" w:hAnsi="Century Gothic" w:cs="Arial"/>
                <w:b/>
                <w:sz w:val="24"/>
                <w:szCs w:val="24"/>
              </w:rPr>
              <w:t>(22/08/2017)</w:t>
            </w:r>
          </w:p>
        </w:tc>
      </w:tr>
      <w:tr w:rsidR="002F71E6" w:rsidTr="000D38C7">
        <w:tc>
          <w:tcPr>
            <w:tcW w:w="8978" w:type="dxa"/>
          </w:tcPr>
          <w:p w:rsidR="002F71E6" w:rsidRPr="008365B0" w:rsidRDefault="002F71E6" w:rsidP="007D3A0A">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Fecha de término de la evaluación </w:t>
            </w:r>
            <w:r w:rsidR="007D3A0A" w:rsidRPr="000B40C5">
              <w:rPr>
                <w:rFonts w:ascii="Century Gothic" w:hAnsi="Century Gothic" w:cs="Arial"/>
                <w:b/>
                <w:sz w:val="24"/>
                <w:szCs w:val="24"/>
              </w:rPr>
              <w:t>(19/10/2017)</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persona responsable de darle seguimiento a la evaluación y nombre de la unidad administrativa a la que pertenece: </w:t>
            </w:r>
          </w:p>
          <w:p w:rsidR="007D3A0A" w:rsidRPr="00A0120E" w:rsidRDefault="007D3A0A" w:rsidP="007D3A0A">
            <w:pPr>
              <w:tabs>
                <w:tab w:val="left" w:pos="1658"/>
              </w:tabs>
              <w:jc w:val="both"/>
              <w:rPr>
                <w:rFonts w:ascii="Century Gothic" w:hAnsi="Century Gothic" w:cs="Arial"/>
                <w:b/>
                <w:sz w:val="24"/>
                <w:szCs w:val="24"/>
              </w:rPr>
            </w:pPr>
            <w:r w:rsidRPr="00A0120E">
              <w:rPr>
                <w:rFonts w:ascii="Century Gothic" w:hAnsi="Century Gothic" w:cs="Arial"/>
                <w:b/>
                <w:sz w:val="24"/>
                <w:szCs w:val="24"/>
              </w:rPr>
              <w:t xml:space="preserve">Nombre: </w:t>
            </w:r>
            <w:r w:rsidRPr="007D3A0A">
              <w:rPr>
                <w:rFonts w:ascii="Century Gothic" w:hAnsi="Century Gothic" w:cs="Arial"/>
                <w:sz w:val="24"/>
                <w:szCs w:val="24"/>
              </w:rPr>
              <w:t>Moisés Aldana Vázquez</w:t>
            </w:r>
          </w:p>
          <w:p w:rsidR="002F71E6" w:rsidRPr="008365B0" w:rsidRDefault="007D3A0A" w:rsidP="007D3A0A">
            <w:pPr>
              <w:tabs>
                <w:tab w:val="left" w:pos="1658"/>
              </w:tabs>
              <w:jc w:val="both"/>
              <w:rPr>
                <w:rFonts w:ascii="Century Gothic" w:hAnsi="Century Gothic" w:cs="Arial"/>
                <w:b/>
                <w:sz w:val="24"/>
                <w:szCs w:val="24"/>
              </w:rPr>
            </w:pPr>
            <w:r w:rsidRPr="00A0120E">
              <w:rPr>
                <w:rFonts w:ascii="Century Gothic" w:hAnsi="Century Gothic" w:cs="Arial"/>
                <w:b/>
                <w:sz w:val="24"/>
                <w:szCs w:val="24"/>
              </w:rPr>
              <w:t>Unidad Administrativa:</w:t>
            </w:r>
            <w:r>
              <w:rPr>
                <w:rFonts w:ascii="Century Gothic" w:hAnsi="Century Gothic" w:cs="Arial"/>
                <w:b/>
                <w:sz w:val="24"/>
                <w:szCs w:val="24"/>
              </w:rPr>
              <w:t xml:space="preserve"> </w:t>
            </w:r>
            <w:r w:rsidRPr="007D3A0A">
              <w:rPr>
                <w:rFonts w:ascii="Century Gothic" w:hAnsi="Century Gothic" w:cs="Arial"/>
                <w:sz w:val="24"/>
                <w:szCs w:val="24"/>
              </w:rPr>
              <w:t>Ahora: Soluciones Empresariales S.C</w:t>
            </w:r>
          </w:p>
        </w:tc>
      </w:tr>
      <w:tr w:rsidR="002F71E6" w:rsidTr="000D38C7">
        <w:tc>
          <w:tcPr>
            <w:tcW w:w="8978" w:type="dxa"/>
          </w:tcPr>
          <w:p w:rsidR="002F71E6" w:rsidRPr="008365B0"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Objetivo general de la evaluación: </w:t>
            </w:r>
            <w:r>
              <w:rPr>
                <w:rFonts w:ascii="Century Gothic" w:hAnsi="Century Gothic" w:cs="Arial"/>
                <w:sz w:val="24"/>
                <w:szCs w:val="24"/>
              </w:rPr>
              <w:t xml:space="preserve">Evaluar el desempeño del Fondo de Aportaciones para la Nómina Educativa y el Gasto Operativo ejercido hasta el segundo trimestre del 2017, con pase en la información institucional, programática y presupuestal.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Objetivos específicos de la evaluación:</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 xml:space="preserve">Realizar una valoración de los resultados y productos de los programas estatales y del recurso federal, mediante el análisis de las normas, información institucional, los indicadores, información programática y presupuestal. </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 xml:space="preserve">Analizar la cobertura del fondo, su población potencial, </w:t>
            </w:r>
            <w:proofErr w:type="gramStart"/>
            <w:r>
              <w:rPr>
                <w:rFonts w:ascii="Century Gothic" w:hAnsi="Century Gothic" w:cs="Arial"/>
                <w:sz w:val="24"/>
                <w:szCs w:val="24"/>
              </w:rPr>
              <w:t>objetivo</w:t>
            </w:r>
            <w:proofErr w:type="gramEnd"/>
            <w:r>
              <w:rPr>
                <w:rFonts w:ascii="Century Gothic" w:hAnsi="Century Gothic" w:cs="Arial"/>
                <w:sz w:val="24"/>
                <w:szCs w:val="24"/>
              </w:rPr>
              <w:t xml:space="preserve"> y atendida.</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Identificar  los principales resultados del ejercicio presupuestal, el comportamiento del presupuesto asignado, modificado y ejercido, la distribución por el rubro que atiende el fondo, analizando los aspectos más relevantes del ejercicio del gasto.</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Analizar el avance de los indicadores sus resultados al 2do trimestre del ejercicio fiscal 2017 con su relación con las metas establecidas.</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 xml:space="preserve">Analizar la Matriz de Indicadores de Resultados (MIR) </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Identificar los principales aspectos susceptibles de mejora que han sido atendidos.</w:t>
            </w:r>
          </w:p>
          <w:p w:rsidR="002F71E6" w:rsidRPr="00534F1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 xml:space="preserve">Identificar los hallazgos más relevantes derivados de la evaluación respecto al desempeño programático, presupuestal, de indicadores, población atendida y las recomendaciones atendidas del fondo. </w:t>
            </w:r>
          </w:p>
          <w:p w:rsidR="002F71E6" w:rsidRPr="008365B0" w:rsidRDefault="002F71E6" w:rsidP="000D38C7">
            <w:pPr>
              <w:pStyle w:val="Prrafodelista"/>
              <w:numPr>
                <w:ilvl w:val="0"/>
                <w:numId w:val="15"/>
              </w:numPr>
              <w:tabs>
                <w:tab w:val="left" w:pos="1658"/>
              </w:tabs>
              <w:jc w:val="both"/>
              <w:rPr>
                <w:rFonts w:ascii="Century Gothic" w:hAnsi="Century Gothic" w:cs="Arial"/>
                <w:b/>
                <w:sz w:val="24"/>
                <w:szCs w:val="24"/>
              </w:rPr>
            </w:pPr>
            <w:r>
              <w:rPr>
                <w:rFonts w:ascii="Century Gothic" w:hAnsi="Century Gothic" w:cs="Arial"/>
                <w:sz w:val="24"/>
                <w:szCs w:val="24"/>
              </w:rPr>
              <w:t xml:space="preserve">Identificar las fortalezas, debilidades, oportunidades y amenazas y las recomendaciones del fondo evaluado.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Metodología utilizado de la evaluación: </w:t>
            </w:r>
          </w:p>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 xml:space="preserve">Instrumentos de recolección de información: </w:t>
            </w:r>
          </w:p>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lastRenderedPageBreak/>
              <w:t xml:space="preserve">Cuestionarios__ Entrevistas__ Formatos__ Otros__ Especifique: </w:t>
            </w:r>
            <w:r w:rsidRPr="00433AFE">
              <w:rPr>
                <w:rFonts w:ascii="Century Gothic" w:hAnsi="Century Gothic" w:cs="Arial"/>
                <w:sz w:val="24"/>
                <w:szCs w:val="24"/>
              </w:rPr>
              <w:t>Investigación documental.</w:t>
            </w:r>
            <w:r>
              <w:rPr>
                <w:rFonts w:ascii="Century Gothic" w:hAnsi="Century Gothic" w:cs="Arial"/>
                <w:b/>
                <w:sz w:val="24"/>
                <w:szCs w:val="24"/>
              </w:rPr>
              <w:t xml:space="preserve"> </w:t>
            </w:r>
          </w:p>
          <w:p w:rsidR="002F71E6" w:rsidRDefault="002F71E6" w:rsidP="000D38C7">
            <w:pPr>
              <w:pStyle w:val="Prrafodelista"/>
              <w:tabs>
                <w:tab w:val="left" w:pos="1658"/>
              </w:tabs>
              <w:ind w:left="1080"/>
              <w:jc w:val="both"/>
              <w:rPr>
                <w:rFonts w:ascii="Century Gothic" w:hAnsi="Century Gothic" w:cs="Arial"/>
                <w:sz w:val="24"/>
                <w:szCs w:val="24"/>
              </w:rPr>
            </w:pPr>
            <w:r>
              <w:rPr>
                <w:rFonts w:ascii="Century Gothic" w:hAnsi="Century Gothic" w:cs="Arial"/>
                <w:b/>
                <w:sz w:val="24"/>
                <w:szCs w:val="24"/>
              </w:rPr>
              <w:t>Descripción de las técnicas y modelos utilizados:</w:t>
            </w:r>
            <w:r>
              <w:t xml:space="preserve"> </w:t>
            </w:r>
            <w:r>
              <w:rPr>
                <w:rFonts w:ascii="Century Gothic" w:hAnsi="Century Gothic" w:cs="Arial"/>
                <w:sz w:val="24"/>
                <w:szCs w:val="24"/>
              </w:rPr>
              <w:t>La evaluación se llevó a cabo medi</w:t>
            </w:r>
            <w:r w:rsidRPr="00433AFE">
              <w:rPr>
                <w:rFonts w:ascii="Century Gothic" w:hAnsi="Century Gothic" w:cs="Arial"/>
                <w:sz w:val="24"/>
                <w:szCs w:val="24"/>
              </w:rPr>
              <w:t>ante un análisis de gabinete con base en in</w:t>
            </w:r>
            <w:r>
              <w:rPr>
                <w:rFonts w:ascii="Century Gothic" w:hAnsi="Century Gothic" w:cs="Arial"/>
                <w:sz w:val="24"/>
                <w:szCs w:val="24"/>
              </w:rPr>
              <w:t>formación proporcionada por el Instituto de Servicios Educativos y Pedagógicos</w:t>
            </w:r>
            <w:r w:rsidRPr="00433AFE">
              <w:rPr>
                <w:rFonts w:ascii="Century Gothic" w:hAnsi="Century Gothic" w:cs="Arial"/>
                <w:sz w:val="24"/>
                <w:szCs w:val="24"/>
              </w:rPr>
              <w:t xml:space="preserve">, así como información adicional que </w:t>
            </w:r>
            <w:r>
              <w:rPr>
                <w:rFonts w:ascii="Century Gothic" w:hAnsi="Century Gothic" w:cs="Arial"/>
                <w:sz w:val="24"/>
                <w:szCs w:val="24"/>
              </w:rPr>
              <w:t>se</w:t>
            </w:r>
            <w:r w:rsidRPr="00433AFE">
              <w:rPr>
                <w:rFonts w:ascii="Century Gothic" w:hAnsi="Century Gothic" w:cs="Arial"/>
                <w:sz w:val="24"/>
                <w:szCs w:val="24"/>
              </w:rPr>
              <w:t xml:space="preserve"> consider</w:t>
            </w:r>
            <w:r>
              <w:rPr>
                <w:rFonts w:ascii="Century Gothic" w:hAnsi="Century Gothic" w:cs="Arial"/>
                <w:sz w:val="24"/>
                <w:szCs w:val="24"/>
              </w:rPr>
              <w:t>ó</w:t>
            </w:r>
            <w:r w:rsidRPr="00433AFE">
              <w:rPr>
                <w:rFonts w:ascii="Century Gothic" w:hAnsi="Century Gothic" w:cs="Arial"/>
                <w:sz w:val="24"/>
                <w:szCs w:val="24"/>
              </w:rPr>
              <w:t xml:space="preserve"> necesaria para complementar dicho análisis. </w:t>
            </w:r>
          </w:p>
          <w:p w:rsidR="002F71E6" w:rsidRPr="008365B0" w:rsidRDefault="002F71E6" w:rsidP="000D38C7">
            <w:pPr>
              <w:pStyle w:val="Prrafodelista"/>
              <w:tabs>
                <w:tab w:val="left" w:pos="1658"/>
              </w:tabs>
              <w:ind w:left="1080"/>
              <w:jc w:val="both"/>
              <w:rPr>
                <w:rFonts w:ascii="Century Gothic" w:hAnsi="Century Gothic" w:cs="Arial"/>
                <w:b/>
                <w:sz w:val="24"/>
                <w:szCs w:val="24"/>
              </w:rPr>
            </w:pPr>
            <w:r w:rsidRPr="00433AFE">
              <w:rPr>
                <w:rFonts w:ascii="Century Gothic" w:hAnsi="Century Gothic" w:cs="Arial"/>
                <w:sz w:val="24"/>
                <w:szCs w:val="24"/>
              </w:rPr>
              <w:t xml:space="preserve">Se entiende por análisis de gabinete al conjunto de actividades que involucran el acopio, la organización y la valoración de información concentrada en registros administrativos, bases de datos, evaluaciones internas y/o externas, así como documentación pública. </w:t>
            </w:r>
          </w:p>
        </w:tc>
      </w:tr>
      <w:tr w:rsidR="002F71E6" w:rsidTr="000D38C7">
        <w:tc>
          <w:tcPr>
            <w:tcW w:w="8978" w:type="dxa"/>
            <w:shd w:val="clear" w:color="auto" w:fill="B6DDE8" w:themeFill="accent5" w:themeFillTint="66"/>
          </w:tcPr>
          <w:p w:rsidR="002F71E6" w:rsidRPr="008365B0"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PRINCIPALES HALLAZGOS DE LA EVALUACIÓN</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Describir los hallazgos más relevantes de la evaluación:</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El cumplimiento de las metas está programado anualmente.</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 xml:space="preserve">La asignación para el Fondo de Compensación presenta una reducción del 1.07% respecto al ejercicio anterior. </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 xml:space="preserve">De los tres conceptos que conforman el Fondo, solamente el de Gastos de Operación es el que tiene Lineamientos del Gasto. </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La matrícula de alumnos proyectada para el ciclo escolar 2017-2018 es de 687,771 en el nivel básico.</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 xml:space="preserve">Se prevé una reducción en la matrícula del 0.93% en el nivel básico. </w:t>
            </w:r>
          </w:p>
          <w:p w:rsidR="002F71E6"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 xml:space="preserve">No se cuenta con una MIR del FONE Estatal, para lo cual se toman en cuenta las matrices de los Programas Presupuestarios, los cuales ejercen recursos del Fondo. </w:t>
            </w:r>
          </w:p>
          <w:p w:rsidR="002F71E6" w:rsidRPr="000E645D" w:rsidRDefault="002F71E6" w:rsidP="000D38C7">
            <w:pPr>
              <w:pStyle w:val="Prrafodelista"/>
              <w:numPr>
                <w:ilvl w:val="0"/>
                <w:numId w:val="16"/>
              </w:numPr>
              <w:tabs>
                <w:tab w:val="left" w:pos="1658"/>
              </w:tabs>
              <w:jc w:val="both"/>
              <w:rPr>
                <w:rFonts w:ascii="Century Gothic" w:hAnsi="Century Gothic" w:cs="Arial"/>
                <w:sz w:val="24"/>
                <w:szCs w:val="24"/>
              </w:rPr>
            </w:pPr>
            <w:r>
              <w:rPr>
                <w:rFonts w:ascii="Century Gothic" w:hAnsi="Century Gothic" w:cs="Arial"/>
                <w:sz w:val="24"/>
                <w:szCs w:val="24"/>
              </w:rPr>
              <w:t xml:space="preserve">El mayor destino de los recursos del FONE es para el pago de la nómina educativa.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Señalar cuáles son las principales Fortalezas, Oportunidades, Debilidades y Amenazas (FODA), de acuerdo con los temas del programa, estrategias e instituciones.</w:t>
            </w:r>
          </w:p>
        </w:tc>
      </w:tr>
      <w:tr w:rsidR="002F71E6" w:rsidTr="000D38C7">
        <w:tc>
          <w:tcPr>
            <w:tcW w:w="8978" w:type="dxa"/>
          </w:tcPr>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Fortalezas:</w:t>
            </w:r>
          </w:p>
          <w:p w:rsidR="002F71E6" w:rsidRPr="008165AD" w:rsidRDefault="002F71E6" w:rsidP="000D38C7">
            <w:pPr>
              <w:pStyle w:val="Prrafodelista"/>
              <w:numPr>
                <w:ilvl w:val="0"/>
                <w:numId w:val="18"/>
              </w:numPr>
              <w:tabs>
                <w:tab w:val="left" w:pos="1658"/>
              </w:tabs>
              <w:jc w:val="both"/>
              <w:rPr>
                <w:rFonts w:ascii="Century Gothic" w:hAnsi="Century Gothic" w:cs="Arial"/>
                <w:sz w:val="24"/>
                <w:szCs w:val="24"/>
              </w:rPr>
            </w:pPr>
            <w:r w:rsidRPr="008165AD">
              <w:rPr>
                <w:rFonts w:ascii="Century Gothic" w:hAnsi="Century Gothic" w:cs="Arial"/>
                <w:sz w:val="24"/>
                <w:szCs w:val="24"/>
              </w:rPr>
              <w:t>Las metas del Fondo se alinean con los documentos de Planeación Federal y Estatal</w:t>
            </w:r>
          </w:p>
          <w:p w:rsidR="002F71E6" w:rsidRPr="008165AD" w:rsidRDefault="002F71E6" w:rsidP="000D38C7">
            <w:pPr>
              <w:pStyle w:val="Prrafodelista"/>
              <w:numPr>
                <w:ilvl w:val="0"/>
                <w:numId w:val="18"/>
              </w:numPr>
              <w:rPr>
                <w:rFonts w:ascii="Century Gothic" w:hAnsi="Century Gothic" w:cs="Arial"/>
                <w:sz w:val="24"/>
                <w:szCs w:val="24"/>
              </w:rPr>
            </w:pPr>
            <w:r w:rsidRPr="008165AD">
              <w:rPr>
                <w:rFonts w:ascii="Century Gothic" w:hAnsi="Century Gothic" w:cs="Arial"/>
                <w:sz w:val="24"/>
                <w:szCs w:val="24"/>
              </w:rPr>
              <w:t>Se cuenta con una estructura adecuada para la atención de las metas establecidas.</w:t>
            </w:r>
          </w:p>
          <w:p w:rsidR="002F71E6" w:rsidRPr="008165AD" w:rsidRDefault="002F71E6" w:rsidP="000D38C7">
            <w:pPr>
              <w:pStyle w:val="Prrafodelista"/>
              <w:numPr>
                <w:ilvl w:val="0"/>
                <w:numId w:val="18"/>
              </w:numPr>
              <w:tabs>
                <w:tab w:val="left" w:pos="1658"/>
              </w:tabs>
              <w:jc w:val="both"/>
              <w:rPr>
                <w:rFonts w:ascii="Century Gothic" w:hAnsi="Century Gothic" w:cs="Arial"/>
                <w:b/>
                <w:sz w:val="24"/>
                <w:szCs w:val="24"/>
              </w:rPr>
            </w:pPr>
            <w:r w:rsidRPr="008165AD">
              <w:rPr>
                <w:rFonts w:ascii="Century Gothic" w:hAnsi="Century Gothic" w:cs="Arial"/>
                <w:sz w:val="24"/>
                <w:szCs w:val="24"/>
              </w:rPr>
              <w:t xml:space="preserve">Los indicadores estatales siguen el modelo a nivel nacional, facilitando su análisis. </w:t>
            </w:r>
          </w:p>
          <w:p w:rsidR="002F71E6" w:rsidRPr="008165AD" w:rsidRDefault="002F71E6" w:rsidP="000D38C7">
            <w:pPr>
              <w:pStyle w:val="Prrafodelista"/>
              <w:numPr>
                <w:ilvl w:val="0"/>
                <w:numId w:val="18"/>
              </w:numPr>
              <w:tabs>
                <w:tab w:val="left" w:pos="1658"/>
              </w:tabs>
              <w:jc w:val="both"/>
              <w:rPr>
                <w:rFonts w:ascii="Century Gothic" w:hAnsi="Century Gothic" w:cs="Arial"/>
                <w:b/>
                <w:sz w:val="24"/>
                <w:szCs w:val="24"/>
              </w:rPr>
            </w:pPr>
            <w:r w:rsidRPr="008165AD">
              <w:rPr>
                <w:rFonts w:ascii="Century Gothic" w:hAnsi="Century Gothic" w:cs="Arial"/>
                <w:sz w:val="24"/>
                <w:szCs w:val="24"/>
              </w:rPr>
              <w:t>Existe alineación de las Matrices de Indicadores de Resultados entre la Federación y el Estado.</w:t>
            </w:r>
          </w:p>
          <w:p w:rsidR="002F71E6" w:rsidRDefault="002F71E6" w:rsidP="000D38C7">
            <w:pPr>
              <w:pStyle w:val="Prrafodelista"/>
              <w:numPr>
                <w:ilvl w:val="0"/>
                <w:numId w:val="18"/>
              </w:numPr>
            </w:pPr>
            <w:r w:rsidRPr="008165AD">
              <w:rPr>
                <w:rFonts w:ascii="Century Gothic" w:hAnsi="Century Gothic" w:cs="Arial"/>
                <w:sz w:val="24"/>
                <w:szCs w:val="24"/>
              </w:rPr>
              <w:t xml:space="preserve">El Estado de Baja California Cuenta con un portal de Indicadores accesible para su búsqueda.  </w:t>
            </w:r>
          </w:p>
          <w:p w:rsidR="002F71E6" w:rsidRPr="008165AD" w:rsidRDefault="002F71E6" w:rsidP="000D38C7">
            <w:pPr>
              <w:pStyle w:val="Prrafodelista"/>
              <w:numPr>
                <w:ilvl w:val="0"/>
                <w:numId w:val="18"/>
              </w:numPr>
              <w:tabs>
                <w:tab w:val="left" w:pos="1658"/>
              </w:tabs>
              <w:jc w:val="both"/>
              <w:rPr>
                <w:rFonts w:ascii="Century Gothic" w:hAnsi="Century Gothic" w:cs="Arial"/>
                <w:b/>
                <w:sz w:val="24"/>
                <w:szCs w:val="24"/>
              </w:rPr>
            </w:pPr>
            <w:r w:rsidRPr="008165AD">
              <w:rPr>
                <w:rFonts w:ascii="Century Gothic" w:hAnsi="Century Gothic" w:cs="Arial"/>
                <w:sz w:val="24"/>
                <w:szCs w:val="24"/>
              </w:rPr>
              <w:lastRenderedPageBreak/>
              <w:t>Se cuenta con el personal capacitado y con experiencia para el registro y control presupuestal.</w:t>
            </w:r>
          </w:p>
          <w:p w:rsidR="002F71E6" w:rsidRPr="008165AD" w:rsidRDefault="002F71E6" w:rsidP="000D38C7">
            <w:pPr>
              <w:pStyle w:val="Prrafodelista"/>
              <w:numPr>
                <w:ilvl w:val="0"/>
                <w:numId w:val="18"/>
              </w:numPr>
              <w:tabs>
                <w:tab w:val="left" w:pos="1658"/>
              </w:tabs>
              <w:jc w:val="both"/>
              <w:rPr>
                <w:rFonts w:ascii="Century Gothic" w:hAnsi="Century Gothic" w:cs="Arial"/>
                <w:b/>
                <w:sz w:val="24"/>
                <w:szCs w:val="24"/>
              </w:rPr>
            </w:pPr>
            <w:r w:rsidRPr="008165AD">
              <w:rPr>
                <w:rFonts w:ascii="Century Gothic" w:hAnsi="Century Gothic" w:cs="Arial"/>
                <w:sz w:val="24"/>
                <w:szCs w:val="24"/>
              </w:rPr>
              <w:t xml:space="preserve">Para el ejercicio fiscal 2017 la población atendida se prevé que tendrá un aumento significativo en los niveles de primaria y preescolar. </w:t>
            </w:r>
          </w:p>
          <w:p w:rsidR="002F71E6" w:rsidRPr="008165AD" w:rsidRDefault="002F71E6" w:rsidP="000D38C7">
            <w:pPr>
              <w:pStyle w:val="Prrafodelista"/>
              <w:numPr>
                <w:ilvl w:val="0"/>
                <w:numId w:val="18"/>
              </w:numPr>
            </w:pPr>
            <w:r w:rsidRPr="008165AD">
              <w:rPr>
                <w:rFonts w:ascii="Century Gothic" w:hAnsi="Century Gothic" w:cs="Arial"/>
                <w:sz w:val="24"/>
                <w:szCs w:val="24"/>
              </w:rPr>
              <w:t xml:space="preserve">Se cuenta con una proyección de beneficiarios.  </w:t>
            </w:r>
          </w:p>
        </w:tc>
      </w:tr>
      <w:tr w:rsidR="002F71E6" w:rsidTr="000D38C7">
        <w:tc>
          <w:tcPr>
            <w:tcW w:w="8978" w:type="dxa"/>
          </w:tcPr>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lastRenderedPageBreak/>
              <w:t>Oportunidades:</w:t>
            </w:r>
          </w:p>
          <w:p w:rsidR="002F71E6" w:rsidRPr="008165AD" w:rsidRDefault="002F71E6" w:rsidP="000D38C7">
            <w:pPr>
              <w:pStyle w:val="Prrafodelista"/>
              <w:numPr>
                <w:ilvl w:val="0"/>
                <w:numId w:val="18"/>
              </w:numPr>
              <w:rPr>
                <w:rFonts w:ascii="Century Gothic" w:hAnsi="Century Gothic" w:cs="Arial"/>
                <w:sz w:val="24"/>
                <w:szCs w:val="24"/>
              </w:rPr>
            </w:pPr>
            <w:r w:rsidRPr="008165AD">
              <w:rPr>
                <w:rFonts w:ascii="Century Gothic" w:hAnsi="Century Gothic" w:cs="Arial"/>
                <w:sz w:val="24"/>
                <w:szCs w:val="24"/>
              </w:rPr>
              <w:t>Creación de programas emergentes para la atención del rezago estudiantil.</w:t>
            </w:r>
          </w:p>
          <w:p w:rsidR="002F71E6" w:rsidRPr="008165AD" w:rsidRDefault="002F71E6" w:rsidP="000D38C7">
            <w:pPr>
              <w:pStyle w:val="Prrafodelista"/>
              <w:numPr>
                <w:ilvl w:val="0"/>
                <w:numId w:val="18"/>
              </w:numPr>
              <w:rPr>
                <w:rFonts w:ascii="Century Gothic" w:hAnsi="Century Gothic" w:cs="Arial"/>
                <w:sz w:val="24"/>
                <w:szCs w:val="24"/>
              </w:rPr>
            </w:pPr>
            <w:r w:rsidRPr="008165AD">
              <w:rPr>
                <w:rFonts w:ascii="Century Gothic" w:hAnsi="Century Gothic" w:cs="Arial"/>
                <w:sz w:val="24"/>
                <w:szCs w:val="24"/>
              </w:rPr>
              <w:t>Definir cuáles son los indicadores estatales que se relacionan con los Indicadores del Fondo.</w:t>
            </w:r>
          </w:p>
          <w:p w:rsidR="002F71E6" w:rsidRPr="008165AD" w:rsidRDefault="002F71E6" w:rsidP="000D38C7">
            <w:pPr>
              <w:pStyle w:val="Prrafodelista"/>
              <w:numPr>
                <w:ilvl w:val="0"/>
                <w:numId w:val="18"/>
              </w:numPr>
              <w:rPr>
                <w:rFonts w:ascii="Century Gothic" w:hAnsi="Century Gothic" w:cs="Arial"/>
                <w:sz w:val="24"/>
                <w:szCs w:val="24"/>
              </w:rPr>
            </w:pPr>
            <w:r w:rsidRPr="008165AD">
              <w:rPr>
                <w:rFonts w:ascii="Century Gothic" w:hAnsi="Century Gothic" w:cs="Arial"/>
                <w:sz w:val="24"/>
                <w:szCs w:val="24"/>
              </w:rPr>
              <w:t>Identificar la contribución del recurso del Fondo en el logro de las metas programáticas.</w:t>
            </w:r>
          </w:p>
          <w:p w:rsidR="002F71E6" w:rsidRPr="008165AD" w:rsidRDefault="002F71E6" w:rsidP="000D38C7">
            <w:pPr>
              <w:pStyle w:val="Prrafodelista"/>
              <w:numPr>
                <w:ilvl w:val="0"/>
                <w:numId w:val="18"/>
              </w:numPr>
              <w:tabs>
                <w:tab w:val="left" w:pos="1658"/>
              </w:tabs>
              <w:jc w:val="both"/>
              <w:rPr>
                <w:rFonts w:ascii="Century Gothic" w:hAnsi="Century Gothic" w:cs="Arial"/>
                <w:b/>
                <w:sz w:val="24"/>
                <w:szCs w:val="24"/>
              </w:rPr>
            </w:pPr>
            <w:r w:rsidRPr="008165AD">
              <w:rPr>
                <w:rFonts w:ascii="Century Gothic" w:hAnsi="Century Gothic" w:cs="Arial"/>
                <w:sz w:val="24"/>
                <w:szCs w:val="24"/>
              </w:rPr>
              <w:t>Publicar trimestralmente en el portal las principales cifras estadísticas.</w:t>
            </w:r>
          </w:p>
          <w:p w:rsidR="002F71E6" w:rsidRPr="008165AD" w:rsidRDefault="002F71E6" w:rsidP="000D38C7">
            <w:pPr>
              <w:pStyle w:val="Prrafodelista"/>
              <w:numPr>
                <w:ilvl w:val="0"/>
                <w:numId w:val="18"/>
              </w:numPr>
            </w:pPr>
            <w:r w:rsidRPr="008165AD">
              <w:rPr>
                <w:rFonts w:ascii="Century Gothic" w:hAnsi="Century Gothic" w:cs="Arial"/>
                <w:sz w:val="24"/>
                <w:szCs w:val="24"/>
              </w:rPr>
              <w:t xml:space="preserve">Mejorar la administración de la planta docente.  </w:t>
            </w:r>
          </w:p>
        </w:tc>
      </w:tr>
      <w:tr w:rsidR="002F71E6" w:rsidTr="000D38C7">
        <w:tc>
          <w:tcPr>
            <w:tcW w:w="8978" w:type="dxa"/>
          </w:tcPr>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Debilidades:</w:t>
            </w:r>
          </w:p>
          <w:p w:rsidR="002F71E6" w:rsidRPr="008165AD" w:rsidRDefault="002F71E6" w:rsidP="000D38C7">
            <w:pPr>
              <w:pStyle w:val="Prrafodelista"/>
              <w:numPr>
                <w:ilvl w:val="0"/>
                <w:numId w:val="18"/>
              </w:numPr>
              <w:jc w:val="both"/>
              <w:rPr>
                <w:rFonts w:ascii="Century Gothic" w:hAnsi="Century Gothic" w:cs="Arial"/>
                <w:sz w:val="24"/>
                <w:szCs w:val="24"/>
              </w:rPr>
            </w:pPr>
            <w:r w:rsidRPr="008165AD">
              <w:rPr>
                <w:rFonts w:ascii="Century Gothic" w:hAnsi="Century Gothic" w:cs="Arial"/>
                <w:sz w:val="24"/>
                <w:szCs w:val="24"/>
              </w:rPr>
              <w:t>Atención de la matrícula por nivel de educación básica no diferenciada.</w:t>
            </w:r>
          </w:p>
          <w:p w:rsidR="002F71E6" w:rsidRPr="008165AD" w:rsidRDefault="002F71E6" w:rsidP="000D38C7">
            <w:pPr>
              <w:pStyle w:val="Prrafodelista"/>
              <w:numPr>
                <w:ilvl w:val="0"/>
                <w:numId w:val="18"/>
              </w:numPr>
              <w:jc w:val="both"/>
              <w:rPr>
                <w:rFonts w:ascii="Century Gothic" w:hAnsi="Century Gothic" w:cs="Arial"/>
                <w:sz w:val="24"/>
                <w:szCs w:val="24"/>
              </w:rPr>
            </w:pPr>
            <w:r w:rsidRPr="008165AD">
              <w:rPr>
                <w:rFonts w:ascii="Century Gothic" w:hAnsi="Century Gothic" w:cs="Arial"/>
                <w:sz w:val="24"/>
                <w:szCs w:val="24"/>
              </w:rPr>
              <w:t>El indicador del nivel del Fin de la MIR del FONE no se encuentra atendido.</w:t>
            </w:r>
          </w:p>
          <w:p w:rsidR="002F71E6" w:rsidRPr="008165AD" w:rsidRDefault="002F71E6" w:rsidP="000D38C7">
            <w:pPr>
              <w:pStyle w:val="Prrafodelista"/>
              <w:numPr>
                <w:ilvl w:val="0"/>
                <w:numId w:val="18"/>
              </w:numPr>
              <w:jc w:val="both"/>
              <w:rPr>
                <w:rFonts w:ascii="Century Gothic" w:hAnsi="Century Gothic" w:cs="Arial"/>
                <w:sz w:val="24"/>
                <w:szCs w:val="24"/>
              </w:rPr>
            </w:pPr>
            <w:r w:rsidRPr="008165AD">
              <w:rPr>
                <w:rFonts w:ascii="Century Gothic" w:hAnsi="Century Gothic" w:cs="Arial"/>
                <w:sz w:val="24"/>
                <w:szCs w:val="24"/>
              </w:rPr>
              <w:t>No es posible identificar el uso del recurso del Fondo en el logro de las metas programáticas.</w:t>
            </w:r>
          </w:p>
          <w:p w:rsidR="002F71E6" w:rsidRPr="008165AD" w:rsidRDefault="002F71E6" w:rsidP="000D38C7">
            <w:pPr>
              <w:pStyle w:val="Prrafodelista"/>
              <w:numPr>
                <w:ilvl w:val="0"/>
                <w:numId w:val="18"/>
              </w:numPr>
              <w:jc w:val="both"/>
            </w:pPr>
            <w:r w:rsidRPr="008165AD">
              <w:rPr>
                <w:rFonts w:ascii="Century Gothic" w:hAnsi="Century Gothic" w:cs="Arial"/>
                <w:sz w:val="24"/>
                <w:szCs w:val="24"/>
              </w:rPr>
              <w:t>No se cuenta con un análisis de la planta docente.</w:t>
            </w:r>
          </w:p>
        </w:tc>
      </w:tr>
      <w:tr w:rsidR="002F71E6" w:rsidTr="000D38C7">
        <w:tc>
          <w:tcPr>
            <w:tcW w:w="8978" w:type="dxa"/>
          </w:tcPr>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Amenazas:</w:t>
            </w:r>
          </w:p>
          <w:p w:rsidR="002F71E6" w:rsidRPr="008165AD" w:rsidRDefault="002F71E6" w:rsidP="000D38C7">
            <w:pPr>
              <w:pStyle w:val="Prrafodelista"/>
              <w:numPr>
                <w:ilvl w:val="0"/>
                <w:numId w:val="18"/>
              </w:numPr>
              <w:jc w:val="both"/>
              <w:rPr>
                <w:rFonts w:ascii="Century Gothic" w:hAnsi="Century Gothic" w:cs="Arial"/>
                <w:sz w:val="24"/>
                <w:szCs w:val="24"/>
              </w:rPr>
            </w:pPr>
            <w:r w:rsidRPr="008165AD">
              <w:rPr>
                <w:rFonts w:ascii="Century Gothic" w:hAnsi="Century Gothic" w:cs="Arial"/>
                <w:sz w:val="24"/>
                <w:szCs w:val="24"/>
              </w:rPr>
              <w:t>Constante flujo migratorio, lo que impacta en directamente en los indicadores de resultados.</w:t>
            </w:r>
          </w:p>
          <w:p w:rsidR="002F71E6" w:rsidRPr="008165AD" w:rsidRDefault="002F71E6" w:rsidP="000D38C7">
            <w:pPr>
              <w:pStyle w:val="Prrafodelista"/>
              <w:numPr>
                <w:ilvl w:val="0"/>
                <w:numId w:val="18"/>
              </w:numPr>
              <w:jc w:val="both"/>
            </w:pPr>
            <w:r w:rsidRPr="008165AD">
              <w:rPr>
                <w:rFonts w:ascii="Century Gothic" w:hAnsi="Century Gothic" w:cs="Arial"/>
                <w:sz w:val="24"/>
                <w:szCs w:val="24"/>
              </w:rPr>
              <w:t>Los recursos destinados a la educación provienen en su mayoría del FONE.</w:t>
            </w:r>
          </w:p>
        </w:tc>
      </w:tr>
      <w:tr w:rsidR="002F71E6" w:rsidTr="000D38C7">
        <w:tc>
          <w:tcPr>
            <w:tcW w:w="8978" w:type="dxa"/>
            <w:shd w:val="clear" w:color="auto" w:fill="B6DDE8" w:themeFill="accent5" w:themeFillTint="66"/>
          </w:tcPr>
          <w:p w:rsidR="002F71E6" w:rsidRPr="008365B0"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CONCLUSIONES Y RECOMENDACIONES DE LA EVALUACIÓN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Describir brevemente las conclusiones de la evaluación:</w:t>
            </w:r>
          </w:p>
          <w:p w:rsidR="002F71E6" w:rsidRDefault="002F71E6" w:rsidP="000D38C7">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De acuerdo a la información disponible y la proporcionada por el Instituto, se observa que los recursos provienen principalmente del FONE. </w:t>
            </w:r>
          </w:p>
          <w:p w:rsidR="002F71E6" w:rsidRDefault="002F71E6" w:rsidP="000D38C7">
            <w:pPr>
              <w:pStyle w:val="Prrafodelista"/>
              <w:tabs>
                <w:tab w:val="left" w:pos="1658"/>
              </w:tabs>
              <w:ind w:left="1080"/>
              <w:jc w:val="both"/>
              <w:rPr>
                <w:rFonts w:ascii="Century Gothic" w:hAnsi="Century Gothic" w:cs="Arial"/>
                <w:sz w:val="24"/>
                <w:szCs w:val="24"/>
              </w:rPr>
            </w:pPr>
          </w:p>
          <w:p w:rsidR="002F71E6" w:rsidRDefault="002F71E6" w:rsidP="000D38C7">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Al no contarse con Matriz de Indicadores de Resultados del FONE a nivel estatal, se trabajó con la información de las </w:t>
            </w:r>
            <w:proofErr w:type="spellStart"/>
            <w:r>
              <w:rPr>
                <w:rFonts w:ascii="Century Gothic" w:hAnsi="Century Gothic" w:cs="Arial"/>
                <w:sz w:val="24"/>
                <w:szCs w:val="24"/>
              </w:rPr>
              <w:t>MIR’s</w:t>
            </w:r>
            <w:proofErr w:type="spellEnd"/>
            <w:r>
              <w:rPr>
                <w:rFonts w:ascii="Century Gothic" w:hAnsi="Century Gothic" w:cs="Arial"/>
                <w:sz w:val="24"/>
                <w:szCs w:val="24"/>
              </w:rPr>
              <w:t xml:space="preserve"> de los Programas Presupuestarios que de acuerdo con el Instituto fueron los cuales recibieron el recurso. </w:t>
            </w:r>
          </w:p>
          <w:p w:rsidR="002F71E6" w:rsidRDefault="002F71E6" w:rsidP="000D38C7">
            <w:pPr>
              <w:pStyle w:val="Prrafodelista"/>
              <w:tabs>
                <w:tab w:val="left" w:pos="1658"/>
              </w:tabs>
              <w:ind w:left="1080"/>
              <w:jc w:val="both"/>
              <w:rPr>
                <w:rFonts w:ascii="Century Gothic" w:hAnsi="Century Gothic" w:cs="Arial"/>
                <w:sz w:val="24"/>
                <w:szCs w:val="24"/>
              </w:rPr>
            </w:pPr>
          </w:p>
          <w:p w:rsidR="002F71E6" w:rsidRDefault="002F71E6" w:rsidP="000D38C7">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Se observa que la matrícula para el nivel secundaria a la baja según la proyección presentada por las estadísticas generadas por el Instituto. </w:t>
            </w:r>
          </w:p>
          <w:p w:rsidR="002F71E6" w:rsidRDefault="002F71E6" w:rsidP="000D38C7">
            <w:pPr>
              <w:pStyle w:val="Prrafodelista"/>
              <w:tabs>
                <w:tab w:val="left" w:pos="1658"/>
              </w:tabs>
              <w:ind w:left="1080"/>
              <w:jc w:val="both"/>
              <w:rPr>
                <w:rFonts w:ascii="Century Gothic" w:hAnsi="Century Gothic" w:cs="Arial"/>
                <w:sz w:val="24"/>
                <w:szCs w:val="24"/>
              </w:rPr>
            </w:pPr>
          </w:p>
          <w:p w:rsidR="002F71E6" w:rsidRPr="008165AD" w:rsidRDefault="002F71E6" w:rsidP="000D38C7">
            <w:pPr>
              <w:pStyle w:val="Prrafodelista"/>
              <w:tabs>
                <w:tab w:val="left" w:pos="1658"/>
              </w:tabs>
              <w:ind w:left="1080"/>
              <w:jc w:val="both"/>
              <w:rPr>
                <w:rFonts w:ascii="Century Gothic" w:hAnsi="Century Gothic" w:cs="Arial"/>
                <w:sz w:val="24"/>
                <w:szCs w:val="24"/>
              </w:rPr>
            </w:pPr>
            <w:r>
              <w:rPr>
                <w:rFonts w:ascii="Century Gothic" w:hAnsi="Century Gothic" w:cs="Arial"/>
                <w:sz w:val="24"/>
                <w:szCs w:val="24"/>
              </w:rPr>
              <w:t xml:space="preserve">Durante el análisis de este tema, se observa que el presupuesto autorizado para el 2017 fue mayor con respecto al ejercicio fiscal anterior.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Describir las recomendaciones de acuerdo a su relevancia:</w:t>
            </w:r>
          </w:p>
        </w:tc>
      </w:tr>
      <w:tr w:rsidR="002F71E6" w:rsidTr="000D38C7">
        <w:tc>
          <w:tcPr>
            <w:tcW w:w="8978" w:type="dxa"/>
          </w:tcPr>
          <w:p w:rsidR="002F71E6" w:rsidRPr="00CD4902" w:rsidRDefault="002F71E6" w:rsidP="000D38C7">
            <w:pPr>
              <w:pStyle w:val="Prrafodelista"/>
              <w:numPr>
                <w:ilvl w:val="0"/>
                <w:numId w:val="19"/>
              </w:numPr>
              <w:tabs>
                <w:tab w:val="left" w:pos="1658"/>
              </w:tabs>
              <w:jc w:val="both"/>
              <w:rPr>
                <w:rFonts w:ascii="Century Gothic" w:hAnsi="Century Gothic" w:cs="Arial"/>
                <w:sz w:val="24"/>
                <w:szCs w:val="24"/>
              </w:rPr>
            </w:pPr>
            <w:r w:rsidRPr="00CD4902">
              <w:rPr>
                <w:rFonts w:ascii="Century Gothic" w:hAnsi="Century Gothic" w:cs="Arial"/>
                <w:sz w:val="24"/>
                <w:szCs w:val="24"/>
              </w:rPr>
              <w:t>Desarrollar mecanismos para la detección de necesidades de los niveles educativos.</w:t>
            </w:r>
          </w:p>
        </w:tc>
      </w:tr>
      <w:tr w:rsidR="002F71E6" w:rsidTr="000D38C7">
        <w:tc>
          <w:tcPr>
            <w:tcW w:w="8978" w:type="dxa"/>
          </w:tcPr>
          <w:p w:rsidR="002F71E6" w:rsidRPr="00CD4902" w:rsidRDefault="002F71E6" w:rsidP="000D38C7">
            <w:pPr>
              <w:pStyle w:val="Prrafodelista"/>
              <w:numPr>
                <w:ilvl w:val="0"/>
                <w:numId w:val="19"/>
              </w:numPr>
              <w:rPr>
                <w:rFonts w:ascii="Century Gothic" w:hAnsi="Century Gothic" w:cs="Arial"/>
                <w:sz w:val="24"/>
                <w:szCs w:val="24"/>
              </w:rPr>
            </w:pPr>
            <w:r w:rsidRPr="00CD4902">
              <w:rPr>
                <w:rFonts w:ascii="Century Gothic" w:hAnsi="Century Gothic" w:cs="Arial"/>
                <w:sz w:val="24"/>
                <w:szCs w:val="24"/>
              </w:rPr>
              <w:t xml:space="preserve">Establecer una Matriz de Indicadores de Resultados a nivel Estatal. </w:t>
            </w:r>
          </w:p>
        </w:tc>
      </w:tr>
      <w:tr w:rsidR="002F71E6" w:rsidTr="000D38C7">
        <w:tc>
          <w:tcPr>
            <w:tcW w:w="8978" w:type="dxa"/>
          </w:tcPr>
          <w:p w:rsidR="002F71E6" w:rsidRPr="00CD4902" w:rsidRDefault="002F71E6" w:rsidP="000D38C7">
            <w:pPr>
              <w:pStyle w:val="Prrafodelista"/>
              <w:numPr>
                <w:ilvl w:val="0"/>
                <w:numId w:val="19"/>
              </w:numPr>
              <w:tabs>
                <w:tab w:val="left" w:pos="1658"/>
              </w:tabs>
              <w:jc w:val="both"/>
              <w:rPr>
                <w:rFonts w:ascii="Century Gothic" w:hAnsi="Century Gothic" w:cs="Arial"/>
                <w:sz w:val="24"/>
                <w:szCs w:val="24"/>
              </w:rPr>
            </w:pPr>
            <w:r w:rsidRPr="00CD4902">
              <w:rPr>
                <w:rFonts w:ascii="Century Gothic" w:hAnsi="Century Gothic" w:cs="Arial"/>
                <w:sz w:val="24"/>
                <w:szCs w:val="24"/>
              </w:rPr>
              <w:t>Establecer controles en los procesos administrativos y operativos, relativos al control del avance presupuestal.</w:t>
            </w:r>
          </w:p>
        </w:tc>
      </w:tr>
      <w:tr w:rsidR="002F71E6" w:rsidTr="000D38C7">
        <w:tc>
          <w:tcPr>
            <w:tcW w:w="8978" w:type="dxa"/>
          </w:tcPr>
          <w:p w:rsidR="002F71E6" w:rsidRPr="00CD4902" w:rsidRDefault="002F71E6" w:rsidP="000D38C7">
            <w:pPr>
              <w:pStyle w:val="Prrafodelista"/>
              <w:numPr>
                <w:ilvl w:val="0"/>
                <w:numId w:val="19"/>
              </w:numPr>
              <w:tabs>
                <w:tab w:val="left" w:pos="1658"/>
              </w:tabs>
              <w:jc w:val="both"/>
              <w:rPr>
                <w:rFonts w:ascii="Century Gothic" w:hAnsi="Century Gothic" w:cs="Arial"/>
                <w:sz w:val="24"/>
                <w:szCs w:val="24"/>
              </w:rPr>
            </w:pPr>
            <w:r w:rsidRPr="00CD4902">
              <w:rPr>
                <w:rFonts w:ascii="Century Gothic" w:hAnsi="Century Gothic" w:cs="Arial"/>
                <w:sz w:val="24"/>
                <w:szCs w:val="24"/>
              </w:rPr>
              <w:t xml:space="preserve">Desarrollar e implementar estrategias para incrementar el porcentaje de alumnos a nivel </w:t>
            </w:r>
            <w:proofErr w:type="gramStart"/>
            <w:r w:rsidRPr="00CD4902">
              <w:rPr>
                <w:rFonts w:ascii="Century Gothic" w:hAnsi="Century Gothic" w:cs="Arial"/>
                <w:sz w:val="24"/>
                <w:szCs w:val="24"/>
              </w:rPr>
              <w:t>secundaria</w:t>
            </w:r>
            <w:proofErr w:type="gramEnd"/>
            <w:r w:rsidRPr="00CD4902">
              <w:rPr>
                <w:rFonts w:ascii="Century Gothic" w:hAnsi="Century Gothic" w:cs="Arial"/>
                <w:sz w:val="24"/>
                <w:szCs w:val="24"/>
              </w:rPr>
              <w:t xml:space="preserve">. </w:t>
            </w:r>
          </w:p>
        </w:tc>
      </w:tr>
      <w:tr w:rsidR="002F71E6" w:rsidTr="000D38C7">
        <w:tc>
          <w:tcPr>
            <w:tcW w:w="8978" w:type="dxa"/>
          </w:tcPr>
          <w:p w:rsidR="002F71E6" w:rsidRPr="00CD4902" w:rsidRDefault="002F71E6" w:rsidP="000D38C7">
            <w:pPr>
              <w:pStyle w:val="Prrafodelista"/>
              <w:numPr>
                <w:ilvl w:val="0"/>
                <w:numId w:val="19"/>
              </w:numPr>
              <w:tabs>
                <w:tab w:val="left" w:pos="1658"/>
              </w:tabs>
              <w:jc w:val="both"/>
              <w:rPr>
                <w:rFonts w:ascii="Century Gothic" w:hAnsi="Century Gothic" w:cs="Arial"/>
                <w:b/>
                <w:sz w:val="24"/>
                <w:szCs w:val="24"/>
              </w:rPr>
            </w:pPr>
            <w:r w:rsidRPr="00CD4902">
              <w:rPr>
                <w:rFonts w:ascii="Century Gothic" w:hAnsi="Century Gothic" w:cs="Arial"/>
                <w:sz w:val="24"/>
                <w:szCs w:val="24"/>
              </w:rPr>
              <w:t>Publicar el Seguimiento de Recomendaciones directamente en el portal del Instituto</w:t>
            </w:r>
          </w:p>
        </w:tc>
      </w:tr>
      <w:tr w:rsidR="002F71E6" w:rsidTr="000D38C7">
        <w:tc>
          <w:tcPr>
            <w:tcW w:w="8978" w:type="dxa"/>
            <w:shd w:val="clear" w:color="auto" w:fill="B6DDE8" w:themeFill="accent5" w:themeFillTint="66"/>
          </w:tcPr>
          <w:p w:rsidR="002F71E6" w:rsidRPr="00E06B45"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Datos de la instancia evaluadora</w:t>
            </w:r>
          </w:p>
        </w:tc>
      </w:tr>
      <w:tr w:rsidR="002F71E6" w:rsidTr="000D38C7">
        <w:tc>
          <w:tcPr>
            <w:tcW w:w="8978" w:type="dxa"/>
          </w:tcPr>
          <w:p w:rsidR="002F71E6" w:rsidRPr="00E06B45"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Nombre del coordinador de la evaluación:</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Cargo:</w:t>
            </w:r>
          </w:p>
        </w:tc>
      </w:tr>
      <w:tr w:rsidR="002F71E6" w:rsidTr="000D38C7">
        <w:tc>
          <w:tcPr>
            <w:tcW w:w="8978" w:type="dxa"/>
          </w:tcPr>
          <w:p w:rsidR="002F71E6" w:rsidRPr="00E06B45"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Institución a la que pertenece:</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Principales colaboradores:</w:t>
            </w:r>
          </w:p>
        </w:tc>
      </w:tr>
      <w:tr w:rsidR="002F71E6" w:rsidTr="000D38C7">
        <w:tc>
          <w:tcPr>
            <w:tcW w:w="8978" w:type="dxa"/>
          </w:tcPr>
          <w:p w:rsidR="002F71E6" w:rsidRPr="00E06B45"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Correo electrónico del coordinador de la evaluación:</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Teléfono (con clave lada): </w:t>
            </w:r>
          </w:p>
        </w:tc>
      </w:tr>
      <w:tr w:rsidR="002F71E6" w:rsidTr="000D38C7">
        <w:tc>
          <w:tcPr>
            <w:tcW w:w="8978" w:type="dxa"/>
            <w:shd w:val="clear" w:color="auto" w:fill="B6DDE8" w:themeFill="accent5" w:themeFillTint="66"/>
          </w:tcPr>
          <w:p w:rsidR="002F71E6" w:rsidRPr="00E06B45"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Identificación del (los) programa (s)</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del (los) programa (s): </w:t>
            </w:r>
            <w:r>
              <w:rPr>
                <w:rFonts w:ascii="Century Gothic" w:hAnsi="Century Gothic" w:cs="Arial"/>
                <w:sz w:val="24"/>
                <w:szCs w:val="24"/>
              </w:rPr>
              <w:t xml:space="preserve">Fondo de Aportaciones para la Nómina Educativa y el Gasto Operativo.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Siglas: </w:t>
            </w:r>
            <w:r w:rsidRPr="00077783">
              <w:rPr>
                <w:rFonts w:ascii="Century Gothic" w:hAnsi="Century Gothic" w:cs="Arial"/>
                <w:sz w:val="24"/>
                <w:szCs w:val="24"/>
              </w:rPr>
              <w:t>FONE</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Ente público coordinador del (los) programa (s): </w:t>
            </w:r>
            <w:r>
              <w:rPr>
                <w:rFonts w:ascii="Century Gothic" w:hAnsi="Century Gothic" w:cs="Arial"/>
                <w:sz w:val="24"/>
                <w:szCs w:val="24"/>
              </w:rPr>
              <w:t xml:space="preserve">Instituto de Servicios Educativos y Pedagógicos.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Poder público al que pertenece (n) el (los) programa (s): </w:t>
            </w:r>
          </w:p>
          <w:p w:rsidR="002F71E6" w:rsidRPr="00E06B45" w:rsidRDefault="002F71E6" w:rsidP="000D38C7">
            <w:pPr>
              <w:tabs>
                <w:tab w:val="left" w:pos="1658"/>
              </w:tabs>
              <w:ind w:left="360"/>
              <w:jc w:val="both"/>
              <w:rPr>
                <w:rFonts w:ascii="Century Gothic" w:hAnsi="Century Gothic" w:cs="Arial"/>
                <w:b/>
                <w:sz w:val="24"/>
                <w:szCs w:val="24"/>
              </w:rPr>
            </w:pPr>
            <w:r>
              <w:rPr>
                <w:rFonts w:ascii="Century Gothic" w:hAnsi="Century Gothic" w:cs="Arial"/>
                <w:b/>
                <w:sz w:val="24"/>
                <w:szCs w:val="24"/>
              </w:rPr>
              <w:t>Poder Ejecutivo _</w:t>
            </w:r>
            <w:r w:rsidRPr="00077783">
              <w:rPr>
                <w:rFonts w:ascii="Century Gothic" w:hAnsi="Century Gothic" w:cs="Arial"/>
                <w:sz w:val="24"/>
                <w:szCs w:val="24"/>
                <w:u w:val="single"/>
              </w:rPr>
              <w:t>x</w:t>
            </w:r>
            <w:r>
              <w:rPr>
                <w:rFonts w:ascii="Century Gothic" w:hAnsi="Century Gothic" w:cs="Arial"/>
                <w:b/>
                <w:sz w:val="24"/>
                <w:szCs w:val="24"/>
              </w:rPr>
              <w:t>__ Poder Legislativo___ Poder Judicial___ Ente Autónomo___</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Ámbito gubernamental al que pertenece (n) el (los) programa (s): </w:t>
            </w:r>
          </w:p>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Federal _</w:t>
            </w:r>
            <w:r w:rsidRPr="00077783">
              <w:rPr>
                <w:rFonts w:ascii="Century Gothic" w:hAnsi="Century Gothic" w:cs="Arial"/>
                <w:sz w:val="24"/>
                <w:szCs w:val="24"/>
                <w:u w:val="single"/>
              </w:rPr>
              <w:t>x</w:t>
            </w:r>
            <w:r>
              <w:rPr>
                <w:rFonts w:ascii="Century Gothic" w:hAnsi="Century Gothic" w:cs="Arial"/>
                <w:b/>
                <w:sz w:val="24"/>
                <w:szCs w:val="24"/>
              </w:rPr>
              <w:t>__ Estatal ___ Municipal___</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(s) unidad (es) administrativa (s) a cargo del (los) programa (s):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 xml:space="preserve">Nombre de la (s) unidades Administrativa (s) a cargo del (los) programa (s):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Nombre del  (los) titular (es) de la (s) unidad (es) administrativa (s) a cargo del (los) programa (s), (Nombre completo, correo electrónico y teléfono con clave lada)</w:t>
            </w:r>
          </w:p>
        </w:tc>
      </w:tr>
      <w:tr w:rsidR="002F71E6" w:rsidTr="000D38C7">
        <w:tc>
          <w:tcPr>
            <w:tcW w:w="8978" w:type="dxa"/>
            <w:shd w:val="clear" w:color="auto" w:fill="B6DDE8" w:themeFill="accent5" w:themeFillTint="66"/>
          </w:tcPr>
          <w:p w:rsidR="002F71E6" w:rsidRPr="00E06B45"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Datos de contratación de la evaluación</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Tipo de contratación</w:t>
            </w:r>
          </w:p>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 xml:space="preserve">Adjudicación directa___ Invitación a tres___ Licitación Pública___ </w:t>
            </w:r>
            <w:r>
              <w:rPr>
                <w:rFonts w:ascii="Century Gothic" w:hAnsi="Century Gothic" w:cs="Arial"/>
                <w:b/>
                <w:sz w:val="24"/>
                <w:szCs w:val="24"/>
              </w:rPr>
              <w:lastRenderedPageBreak/>
              <w:t>Licitación Pública nacional___ Otra (señalar)___</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lastRenderedPageBreak/>
              <w:t xml:space="preserve">Unidad administrativa responsable de contratar la evaluación: </w:t>
            </w:r>
            <w:r>
              <w:rPr>
                <w:rFonts w:ascii="Century Gothic" w:hAnsi="Century Gothic" w:cs="Arial"/>
                <w:sz w:val="24"/>
                <w:szCs w:val="24"/>
              </w:rPr>
              <w:t xml:space="preserve">Comité de Planeación para el Desarrollo del Estado (COPLADE). </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Costo total de la evaluación:</w:t>
            </w:r>
          </w:p>
        </w:tc>
      </w:tr>
      <w:tr w:rsidR="002F71E6" w:rsidTr="000D38C7">
        <w:tc>
          <w:tcPr>
            <w:tcW w:w="8978" w:type="dxa"/>
          </w:tcPr>
          <w:p w:rsidR="002F71E6" w:rsidRDefault="002F71E6" w:rsidP="000D38C7">
            <w:pPr>
              <w:pStyle w:val="Prrafodelista"/>
              <w:numPr>
                <w:ilvl w:val="1"/>
                <w:numId w:val="5"/>
              </w:numPr>
              <w:tabs>
                <w:tab w:val="left" w:pos="1658"/>
              </w:tabs>
              <w:jc w:val="both"/>
              <w:rPr>
                <w:rFonts w:ascii="Century Gothic" w:hAnsi="Century Gothic" w:cs="Arial"/>
                <w:b/>
                <w:sz w:val="24"/>
                <w:szCs w:val="24"/>
              </w:rPr>
            </w:pPr>
            <w:r>
              <w:rPr>
                <w:rFonts w:ascii="Century Gothic" w:hAnsi="Century Gothic" w:cs="Arial"/>
                <w:b/>
                <w:sz w:val="24"/>
                <w:szCs w:val="24"/>
              </w:rPr>
              <w:t>Fuente de financiamiento:</w:t>
            </w:r>
          </w:p>
          <w:p w:rsidR="002F71E6" w:rsidRDefault="002F71E6" w:rsidP="000D38C7">
            <w:pPr>
              <w:pStyle w:val="Prrafodelista"/>
              <w:tabs>
                <w:tab w:val="left" w:pos="1658"/>
              </w:tabs>
              <w:ind w:left="1080"/>
              <w:jc w:val="both"/>
              <w:rPr>
                <w:rFonts w:ascii="Century Gothic" w:hAnsi="Century Gothic" w:cs="Arial"/>
                <w:b/>
                <w:sz w:val="24"/>
                <w:szCs w:val="24"/>
              </w:rPr>
            </w:pPr>
            <w:r>
              <w:rPr>
                <w:rFonts w:ascii="Century Gothic" w:hAnsi="Century Gothic" w:cs="Arial"/>
                <w:b/>
                <w:sz w:val="24"/>
                <w:szCs w:val="24"/>
              </w:rPr>
              <w:t>Recurso Fiscal____ Recurso propio____ Créditos___ Especificar___</w:t>
            </w:r>
          </w:p>
        </w:tc>
      </w:tr>
      <w:tr w:rsidR="002F71E6" w:rsidTr="000D38C7">
        <w:tc>
          <w:tcPr>
            <w:tcW w:w="8978" w:type="dxa"/>
            <w:shd w:val="clear" w:color="auto" w:fill="B6DDE8" w:themeFill="accent5" w:themeFillTint="66"/>
          </w:tcPr>
          <w:p w:rsidR="002F71E6" w:rsidRDefault="002F71E6" w:rsidP="000D38C7">
            <w:pPr>
              <w:pStyle w:val="Prrafodelista"/>
              <w:numPr>
                <w:ilvl w:val="0"/>
                <w:numId w:val="5"/>
              </w:numPr>
              <w:tabs>
                <w:tab w:val="left" w:pos="1658"/>
              </w:tabs>
              <w:jc w:val="both"/>
              <w:rPr>
                <w:rFonts w:ascii="Century Gothic" w:hAnsi="Century Gothic" w:cs="Arial"/>
                <w:b/>
                <w:sz w:val="24"/>
                <w:szCs w:val="24"/>
              </w:rPr>
            </w:pPr>
            <w:r>
              <w:rPr>
                <w:rFonts w:ascii="Century Gothic" w:hAnsi="Century Gothic" w:cs="Arial"/>
                <w:b/>
                <w:sz w:val="24"/>
                <w:szCs w:val="24"/>
              </w:rPr>
              <w:t>Difusión de la evaluación</w:t>
            </w:r>
          </w:p>
        </w:tc>
      </w:tr>
      <w:tr w:rsidR="002F71E6" w:rsidTr="000D38C7">
        <w:tc>
          <w:tcPr>
            <w:tcW w:w="8978" w:type="dxa"/>
          </w:tcPr>
          <w:p w:rsidR="002F71E6" w:rsidRPr="00B0156A" w:rsidRDefault="002F71E6" w:rsidP="000D38C7">
            <w:pPr>
              <w:pStyle w:val="Prrafodelista"/>
              <w:numPr>
                <w:ilvl w:val="1"/>
                <w:numId w:val="5"/>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 la evaluación: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F71E6" w:rsidRPr="00B0156A" w:rsidRDefault="002F71E6" w:rsidP="000D38C7">
            <w:pPr>
              <w:pStyle w:val="Prrafodelista"/>
              <w:tabs>
                <w:tab w:val="left" w:pos="1658"/>
              </w:tabs>
              <w:ind w:left="1080"/>
              <w:jc w:val="both"/>
              <w:rPr>
                <w:rFonts w:ascii="Century Gothic" w:hAnsi="Century Gothic" w:cs="Arial"/>
                <w:b/>
                <w:sz w:val="24"/>
                <w:szCs w:val="24"/>
              </w:rPr>
            </w:pPr>
            <w:r w:rsidRPr="00B0156A">
              <w:rPr>
                <w:rFonts w:ascii="Century Gothic" w:hAnsi="Century Gothic" w:cs="Arial"/>
                <w:color w:val="0000FF"/>
                <w:sz w:val="24"/>
                <w:szCs w:val="24"/>
              </w:rPr>
              <w:t>www.monitorbc.gob.mx</w:t>
            </w:r>
          </w:p>
        </w:tc>
      </w:tr>
      <w:tr w:rsidR="002F71E6" w:rsidTr="000D38C7">
        <w:tc>
          <w:tcPr>
            <w:tcW w:w="8978" w:type="dxa"/>
          </w:tcPr>
          <w:p w:rsidR="002F71E6" w:rsidRPr="00B0156A" w:rsidRDefault="002F71E6" w:rsidP="000D38C7">
            <w:pPr>
              <w:pStyle w:val="Prrafodelista"/>
              <w:numPr>
                <w:ilvl w:val="1"/>
                <w:numId w:val="5"/>
              </w:numPr>
              <w:tabs>
                <w:tab w:val="left" w:pos="1658"/>
              </w:tabs>
              <w:jc w:val="both"/>
              <w:rPr>
                <w:rFonts w:ascii="Century Gothic" w:hAnsi="Century Gothic" w:cs="Arial"/>
                <w:b/>
                <w:sz w:val="24"/>
                <w:szCs w:val="24"/>
              </w:rPr>
            </w:pPr>
            <w:r w:rsidRPr="00B0156A">
              <w:rPr>
                <w:rFonts w:ascii="Century Gothic" w:hAnsi="Century Gothic" w:cs="Arial"/>
                <w:b/>
                <w:sz w:val="24"/>
                <w:szCs w:val="24"/>
              </w:rPr>
              <w:t xml:space="preserve">Difusión en internet del Formato: </w:t>
            </w:r>
            <w:r w:rsidRPr="00B0156A">
              <w:rPr>
                <w:rFonts w:ascii="Century Gothic" w:hAnsi="Century Gothic" w:cs="Arial"/>
                <w:color w:val="0000FF"/>
                <w:sz w:val="24"/>
                <w:szCs w:val="24"/>
              </w:rPr>
              <w:t xml:space="preserve">www.copladebc.gob.mx </w:t>
            </w:r>
            <w:r w:rsidRPr="00B0156A">
              <w:rPr>
                <w:rFonts w:ascii="Century Gothic" w:hAnsi="Century Gothic" w:cs="Arial"/>
                <w:color w:val="000000"/>
                <w:sz w:val="24"/>
                <w:szCs w:val="24"/>
              </w:rPr>
              <w:t>y</w:t>
            </w:r>
          </w:p>
          <w:p w:rsidR="002F71E6" w:rsidRPr="00B0156A" w:rsidRDefault="002F71E6" w:rsidP="000D38C7">
            <w:pPr>
              <w:tabs>
                <w:tab w:val="left" w:pos="1658"/>
              </w:tabs>
              <w:jc w:val="both"/>
              <w:rPr>
                <w:rFonts w:ascii="Century Gothic" w:hAnsi="Century Gothic" w:cs="Arial"/>
                <w:b/>
                <w:sz w:val="24"/>
                <w:szCs w:val="24"/>
              </w:rPr>
            </w:pPr>
            <w:r w:rsidRPr="00B0156A">
              <w:rPr>
                <w:rFonts w:ascii="Century Gothic" w:hAnsi="Century Gothic" w:cs="Arial"/>
                <w:color w:val="0000FF"/>
                <w:sz w:val="24"/>
                <w:szCs w:val="24"/>
              </w:rPr>
              <w:t>www.monitorbc.gob.mx</w:t>
            </w:r>
          </w:p>
        </w:tc>
      </w:tr>
    </w:tbl>
    <w:p w:rsidR="000305CA" w:rsidRDefault="000305CA" w:rsidP="00FC78E1">
      <w:pPr>
        <w:jc w:val="both"/>
      </w:pPr>
    </w:p>
    <w:sectPr w:rsidR="000305CA" w:rsidSect="00BB7902">
      <w:headerReference w:type="default" r:id="rId33"/>
      <w:footerReference w:type="default" r:id="rId34"/>
      <w:footerReference w:type="first" r:id="rId35"/>
      <w:pgSz w:w="12240" w:h="15840" w:code="1"/>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190" w:rsidRDefault="00B64190" w:rsidP="007D7622">
      <w:pPr>
        <w:spacing w:after="0" w:line="240" w:lineRule="auto"/>
      </w:pPr>
      <w:r>
        <w:separator/>
      </w:r>
    </w:p>
  </w:endnote>
  <w:endnote w:type="continuationSeparator" w:id="0">
    <w:p w:rsidR="00B64190" w:rsidRDefault="00B64190" w:rsidP="007D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CB57E7">
      <w:tc>
        <w:tcPr>
          <w:tcW w:w="918" w:type="dxa"/>
        </w:tcPr>
        <w:p w:rsidR="00CB57E7" w:rsidRDefault="00CB57E7">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202127" w:rsidRPr="00202127">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3</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CB57E7" w:rsidRDefault="001B130F">
          <w:pPr>
            <w:pStyle w:val="Piedepgina"/>
          </w:pPr>
          <w:r>
            <w:rPr>
              <w:noProof/>
              <w:lang w:val="es-ES" w:eastAsia="es-ES"/>
            </w:rPr>
            <w:drawing>
              <wp:anchor distT="0" distB="0" distL="114300" distR="114300" simplePos="0" relativeHeight="251662336" behindDoc="0" locked="0" layoutInCell="1" allowOverlap="1" wp14:anchorId="5D6125EB" wp14:editId="72F883B5">
                <wp:simplePos x="0" y="0"/>
                <wp:positionH relativeFrom="column">
                  <wp:posOffset>4043915</wp:posOffset>
                </wp:positionH>
                <wp:positionV relativeFrom="paragraph">
                  <wp:posOffset>97214</wp:posOffset>
                </wp:positionV>
                <wp:extent cx="1275907" cy="589516"/>
                <wp:effectExtent l="0" t="0" r="635" b="1270"/>
                <wp:wrapNone/>
                <wp:docPr id="7" name="Picture 3" descr="aho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ora logo.jpg"/>
                        <pic:cNvPicPr/>
                      </pic:nvPicPr>
                      <pic:blipFill rotWithShape="1">
                        <a:blip r:embed="rId1" cstate="print"/>
                        <a:srcRect l="16449" t="26592" b="21723"/>
                        <a:stretch/>
                      </pic:blipFill>
                      <pic:spPr bwMode="auto">
                        <a:xfrm>
                          <a:off x="0" y="0"/>
                          <a:ext cx="1275907" cy="589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4384" behindDoc="1" locked="0" layoutInCell="1" allowOverlap="1" wp14:anchorId="42E1A0B4" wp14:editId="64DEED15">
                <wp:simplePos x="0" y="0"/>
                <wp:positionH relativeFrom="column">
                  <wp:posOffset>2874010</wp:posOffset>
                </wp:positionH>
                <wp:positionV relativeFrom="paragraph">
                  <wp:posOffset>24765</wp:posOffset>
                </wp:positionV>
                <wp:extent cx="1077595" cy="633095"/>
                <wp:effectExtent l="0" t="0" r="825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19004_1027861927294274_2739971939468604575_n.jpg"/>
                        <pic:cNvPicPr/>
                      </pic:nvPicPr>
                      <pic:blipFill rotWithShape="1">
                        <a:blip r:embed="rId2" cstate="print">
                          <a:extLst>
                            <a:ext uri="{28A0092B-C50C-407E-A947-70E740481C1C}">
                              <a14:useLocalDpi xmlns:a14="http://schemas.microsoft.com/office/drawing/2010/main" val="0"/>
                            </a:ext>
                          </a:extLst>
                        </a:blip>
                        <a:srcRect t="19066" b="22144"/>
                        <a:stretch/>
                      </pic:blipFill>
                      <pic:spPr bwMode="auto">
                        <a:xfrm>
                          <a:off x="0" y="0"/>
                          <a:ext cx="107759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620A9" w:rsidRDefault="009620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101A472386B2457AAAFE8247504ADF89"/>
      </w:placeholder>
      <w:temporary/>
      <w:showingPlcHdr/>
    </w:sdtPr>
    <w:sdtEndPr/>
    <w:sdtContent>
      <w:p w:rsidR="009620A9" w:rsidRDefault="009620A9">
        <w:pPr>
          <w:pStyle w:val="Piedepgina"/>
        </w:pPr>
        <w:r>
          <w:t>[Type text]</w:t>
        </w:r>
      </w:p>
    </w:sdtContent>
  </w:sdt>
  <w:p w:rsidR="009620A9" w:rsidRDefault="009620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190" w:rsidRDefault="00B64190" w:rsidP="007D7622">
      <w:pPr>
        <w:spacing w:after="0" w:line="240" w:lineRule="auto"/>
      </w:pPr>
      <w:r>
        <w:separator/>
      </w:r>
    </w:p>
  </w:footnote>
  <w:footnote w:type="continuationSeparator" w:id="0">
    <w:p w:rsidR="00B64190" w:rsidRDefault="00B64190" w:rsidP="007D76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0A9" w:rsidRDefault="003B5349">
    <w:pPr>
      <w:pStyle w:val="Encabezado"/>
    </w:pPr>
    <w:r>
      <w:rPr>
        <w:noProof/>
        <w:lang w:val="es-ES" w:eastAsia="es-ES"/>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topMargin">
                <wp:align>center</wp:align>
              </wp:positionV>
              <wp:extent cx="7367270" cy="530225"/>
              <wp:effectExtent l="0" t="0" r="7620" b="3175"/>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530225"/>
                        <a:chOff x="330" y="308"/>
                        <a:chExt cx="11586" cy="835"/>
                      </a:xfrm>
                    </wpg:grpSpPr>
                    <wps:wsp>
                      <wps:cNvPr id="9" name="Rectangle 2"/>
                      <wps:cNvSpPr>
                        <a:spLocks noChangeArrowheads="1"/>
                      </wps:cNvSpPr>
                      <wps:spPr bwMode="auto">
                        <a:xfrm>
                          <a:off x="377" y="360"/>
                          <a:ext cx="9346" cy="720"/>
                        </a:xfrm>
                        <a:prstGeom prst="rect">
                          <a:avLst/>
                        </a:prstGeom>
                        <a:solidFill>
                          <a:schemeClr val="accent1">
                            <a:lumMod val="50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Century Gothic" w:hAnsi="Century Gothic"/>
                                <w:sz w:val="24"/>
                                <w:szCs w:val="24"/>
                              </w:rPr>
                              <w:alias w:val="Title"/>
                              <w:id w:val="5775088"/>
                              <w:placeholder>
                                <w:docPart w:val="953EB3C5986848F7AABA613AA725B725"/>
                              </w:placeholder>
                              <w:dataBinding w:prefixMappings="xmlns:ns0='http://schemas.openxmlformats.org/package/2006/metadata/core-properties' xmlns:ns1='http://purl.org/dc/elements/1.1/'" w:xpath="/ns0:coreProperties[1]/ns1:title[1]" w:storeItemID="{6C3C8BC8-F283-45AE-878A-BAB7291924A1}"/>
                              <w:text/>
                            </w:sdtPr>
                            <w:sdtEndPr/>
                            <w:sdtContent>
                              <w:p w:rsidR="009620A9" w:rsidRDefault="009620A9">
                                <w:pPr>
                                  <w:pStyle w:val="Encabezado"/>
                                  <w:rPr>
                                    <w:color w:val="FFFFFF" w:themeColor="background1"/>
                                    <w:sz w:val="28"/>
                                    <w:szCs w:val="28"/>
                                  </w:rPr>
                                </w:pPr>
                                <w:r w:rsidRPr="002F71E6">
                                  <w:rPr>
                                    <w:rFonts w:ascii="Century Gothic" w:hAnsi="Century Gothic"/>
                                    <w:sz w:val="24"/>
                                    <w:szCs w:val="24"/>
                                  </w:rPr>
                                  <w:t>Fondo de Aportaciones para la Nómina Educativa y el Gasto Operativo (FONE)</w:t>
                                </w:r>
                              </w:p>
                            </w:sdtContent>
                          </w:sdt>
                        </w:txbxContent>
                      </wps:txbx>
                      <wps:bodyPr rot="0" vert="horz" wrap="square" lIns="91440" tIns="45720" rIns="91440" bIns="45720" anchor="ctr" anchorCtr="0" upright="1">
                        <a:noAutofit/>
                      </wps:bodyPr>
                    </wps:wsp>
                    <wps:wsp>
                      <wps:cNvPr id="11" name="Rectangle 3"/>
                      <wps:cNvSpPr>
                        <a:spLocks noChangeArrowheads="1"/>
                      </wps:cNvSpPr>
                      <wps:spPr bwMode="auto">
                        <a:xfrm>
                          <a:off x="9763" y="360"/>
                          <a:ext cx="2102" cy="720"/>
                        </a:xfrm>
                        <a:prstGeom prst="rect">
                          <a:avLst/>
                        </a:prstGeom>
                        <a:solidFill>
                          <a:schemeClr val="bg1">
                            <a:lumMod val="65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577508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620A9" w:rsidRDefault="009620A9">
                                <w:pPr>
                                  <w:pStyle w:val="Encabezado"/>
                                  <w:rPr>
                                    <w:color w:val="FFFFFF" w:themeColor="background1"/>
                                    <w:sz w:val="36"/>
                                    <w:szCs w:val="36"/>
                                  </w:rPr>
                                </w:pPr>
                                <w:r>
                                  <w:rPr>
                                    <w:color w:val="FFFFFF" w:themeColor="background1"/>
                                    <w:sz w:val="36"/>
                                    <w:szCs w:val="36"/>
                                    <w:lang w:val="en-US"/>
                                  </w:rPr>
                                  <w:t xml:space="preserve"> </w:t>
                                </w:r>
                              </w:p>
                            </w:sdtContent>
                          </w:sdt>
                        </w:txbxContent>
                      </wps:txbx>
                      <wps:bodyPr rot="0" vert="horz" wrap="square" lIns="91440" tIns="45720" rIns="91440" bIns="45720" anchor="ctr" anchorCtr="0" upright="1">
                        <a:noAutofit/>
                      </wps:bodyPr>
                    </wps:wsp>
                    <wps:wsp>
                      <wps:cNvPr id="12"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0;margin-top:0;width:580.1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UEsEA&#10;AADaAAAADwAAAGRycy9kb3ducmV2LnhtbESPzYrCMBSF94LvEK7gRjRVBtFqFJERxs1Aq7i+NNe2&#10;2NyUJKPVp58MDLg8nJ+Ps952phF3cr62rGA6SUAQF1bXXCo4nw7jBQgfkDU2lknBkzxsN/3eGlNt&#10;H5zRPQ+liCPsU1RQhdCmUvqiIoN+Ylvi6F2tMxiidKXUDh9x3DRyliRzabDmSKiwpX1FxS3/MZH7&#10;ebx+3Dq+hO9XlrnjazFqd16p4aDbrUAE6sI7/N/+0gqW8Hc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VBLBAAAA2gAAAA8AAAAAAAAAAAAAAAAAmAIAAGRycy9kb3du&#10;cmV2LnhtbFBLBQYAAAAABAAEAPUAAACGAwAAAAA=&#10;" fillcolor="#243f60 [1604]" stroked="f" strokecolor="white [3212]" strokeweight="1.5pt">
                <v:textbox>
                  <w:txbxContent>
                    <w:sdt>
                      <w:sdtPr>
                        <w:rPr>
                          <w:rFonts w:ascii="Century Gothic" w:hAnsi="Century Gothic"/>
                          <w:sz w:val="24"/>
                          <w:szCs w:val="24"/>
                        </w:rPr>
                        <w:alias w:val="Title"/>
                        <w:id w:val="5775088"/>
                        <w:placeholder>
                          <w:docPart w:val="953EB3C5986848F7AABA613AA725B725"/>
                        </w:placeholder>
                        <w:dataBinding w:prefixMappings="xmlns:ns0='http://schemas.openxmlformats.org/package/2006/metadata/core-properties' xmlns:ns1='http://purl.org/dc/elements/1.1/'" w:xpath="/ns0:coreProperties[1]/ns1:title[1]" w:storeItemID="{6C3C8BC8-F283-45AE-878A-BAB7291924A1}"/>
                        <w:text/>
                      </w:sdtPr>
                      <w:sdtEndPr/>
                      <w:sdtContent>
                        <w:p w:rsidR="009620A9" w:rsidRDefault="009620A9">
                          <w:pPr>
                            <w:pStyle w:val="Encabezado"/>
                            <w:rPr>
                              <w:color w:val="FFFFFF" w:themeColor="background1"/>
                              <w:sz w:val="28"/>
                              <w:szCs w:val="28"/>
                            </w:rPr>
                          </w:pPr>
                          <w:r w:rsidRPr="002F71E6">
                            <w:rPr>
                              <w:rFonts w:ascii="Century Gothic" w:hAnsi="Century Gothic"/>
                              <w:sz w:val="24"/>
                              <w:szCs w:val="24"/>
                            </w:rPr>
                            <w:t>Fondo de Aportaciones para la Nómina Educativa y el Gasto Operativo (FONE)</w:t>
                          </w:r>
                        </w:p>
                      </w:sdtContent>
                    </w:sdt>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70A&#10;AADbAAAADwAAAGRycy9kb3ducmV2LnhtbERPyQrCMBC9C/5DGMGbpq5oNYoKLleXi7ehGdtiMylN&#10;1Pr3RhC8zeOtM1/WphBPqlxuWUGvG4EgTqzOOVVwOW87ExDOI2ssLJOCNzlYLpqNOcbavvhIz5NP&#10;RQhhF6OCzPsyltIlGRl0XVsSB+5mK4M+wCqVusJXCDeF7EfRWBrMOTRkWNImo+R+ehgFu/7oOrmv&#10;j+vtaHjYP6bjvaz1QKl2q17NQHiq/V/8cx90mN+D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vl70AAADbAAAADwAAAAAAAAAAAAAAAACYAgAAZHJzL2Rvd25yZXYu&#10;eG1sUEsFBgAAAAAEAAQA9QAAAIIDAAAAAA==&#10;" fillcolor="#a5a5a5 [2092]" stroked="f" strokecolor="white [3212]" strokeweight="2pt">
                <v:textbox>
                  <w:txbxContent>
                    <w:sdt>
                      <w:sdtPr>
                        <w:rPr>
                          <w:color w:val="FFFFFF" w:themeColor="background1"/>
                          <w:sz w:val="36"/>
                          <w:szCs w:val="36"/>
                        </w:rPr>
                        <w:alias w:val="Year"/>
                        <w:id w:val="577508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620A9" w:rsidRDefault="009620A9">
                          <w:pPr>
                            <w:pStyle w:val="Encabezado"/>
                            <w:rPr>
                              <w:color w:val="FFFFFF" w:themeColor="background1"/>
                              <w:sz w:val="36"/>
                              <w:szCs w:val="36"/>
                            </w:rPr>
                          </w:pPr>
                          <w:r>
                            <w:rPr>
                              <w:color w:val="FFFFFF" w:themeColor="background1"/>
                              <w:sz w:val="36"/>
                              <w:szCs w:val="36"/>
                              <w:lang w:val="en-US"/>
                            </w:rPr>
                            <w:t xml:space="preserve"> </w:t>
                          </w:r>
                        </w:p>
                      </w:sdtContent>
                    </w:sdt>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28AD30F2"/>
    <w:multiLevelType w:val="hybridMultilevel"/>
    <w:tmpl w:val="6DFE039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793DED"/>
    <w:multiLevelType w:val="multilevel"/>
    <w:tmpl w:val="37FE806A"/>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7">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697A56"/>
    <w:multiLevelType w:val="hybridMultilevel"/>
    <w:tmpl w:val="1E286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3F3C13DE"/>
    <w:multiLevelType w:val="multilevel"/>
    <w:tmpl w:val="2026BA86"/>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10">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45493B21"/>
    <w:multiLevelType w:val="hybridMultilevel"/>
    <w:tmpl w:val="5A2805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CA38DC"/>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F051C6"/>
    <w:multiLevelType w:val="hybridMultilevel"/>
    <w:tmpl w:val="192869BE"/>
    <w:lvl w:ilvl="0" w:tplc="963C1F9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7">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995139"/>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5"/>
  </w:num>
  <w:num w:numId="3">
    <w:abstractNumId w:val="1"/>
  </w:num>
  <w:num w:numId="4">
    <w:abstractNumId w:val="12"/>
  </w:num>
  <w:num w:numId="5">
    <w:abstractNumId w:val="13"/>
  </w:num>
  <w:num w:numId="6">
    <w:abstractNumId w:val="17"/>
  </w:num>
  <w:num w:numId="7">
    <w:abstractNumId w:val="2"/>
  </w:num>
  <w:num w:numId="8">
    <w:abstractNumId w:val="5"/>
  </w:num>
  <w:num w:numId="9">
    <w:abstractNumId w:val="4"/>
  </w:num>
  <w:num w:numId="10">
    <w:abstractNumId w:val="8"/>
  </w:num>
  <w:num w:numId="11">
    <w:abstractNumId w:val="9"/>
  </w:num>
  <w:num w:numId="12">
    <w:abstractNumId w:val="6"/>
  </w:num>
  <w:num w:numId="13">
    <w:abstractNumId w:val="11"/>
  </w:num>
  <w:num w:numId="14">
    <w:abstractNumId w:val="14"/>
  </w:num>
  <w:num w:numId="15">
    <w:abstractNumId w:val="16"/>
  </w:num>
  <w:num w:numId="16">
    <w:abstractNumId w:val="3"/>
  </w:num>
  <w:num w:numId="17">
    <w:abstractNumId w:val="18"/>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B09"/>
    <w:rsid w:val="0000309C"/>
    <w:rsid w:val="000305CA"/>
    <w:rsid w:val="00064FEC"/>
    <w:rsid w:val="000A3143"/>
    <w:rsid w:val="000D38C7"/>
    <w:rsid w:val="00100219"/>
    <w:rsid w:val="001478D4"/>
    <w:rsid w:val="001924B5"/>
    <w:rsid w:val="001A0B89"/>
    <w:rsid w:val="001B130F"/>
    <w:rsid w:val="00202127"/>
    <w:rsid w:val="00237A39"/>
    <w:rsid w:val="002F71E6"/>
    <w:rsid w:val="00363E72"/>
    <w:rsid w:val="003B5349"/>
    <w:rsid w:val="004056E7"/>
    <w:rsid w:val="004D675F"/>
    <w:rsid w:val="004F3135"/>
    <w:rsid w:val="00500FC6"/>
    <w:rsid w:val="00581018"/>
    <w:rsid w:val="00612306"/>
    <w:rsid w:val="006537AA"/>
    <w:rsid w:val="006735F4"/>
    <w:rsid w:val="006C354F"/>
    <w:rsid w:val="0071463D"/>
    <w:rsid w:val="00731B09"/>
    <w:rsid w:val="00735FD8"/>
    <w:rsid w:val="00797208"/>
    <w:rsid w:val="007D3A0A"/>
    <w:rsid w:val="007D7622"/>
    <w:rsid w:val="007F394F"/>
    <w:rsid w:val="008757B2"/>
    <w:rsid w:val="00883353"/>
    <w:rsid w:val="00905B13"/>
    <w:rsid w:val="0093724E"/>
    <w:rsid w:val="009620A9"/>
    <w:rsid w:val="00A37806"/>
    <w:rsid w:val="00B5292F"/>
    <w:rsid w:val="00B601CF"/>
    <w:rsid w:val="00B64190"/>
    <w:rsid w:val="00BB7902"/>
    <w:rsid w:val="00BC6806"/>
    <w:rsid w:val="00C10141"/>
    <w:rsid w:val="00C279BD"/>
    <w:rsid w:val="00CA7E24"/>
    <w:rsid w:val="00CB4749"/>
    <w:rsid w:val="00CB57E7"/>
    <w:rsid w:val="00CC00B2"/>
    <w:rsid w:val="00CC1E95"/>
    <w:rsid w:val="00D14374"/>
    <w:rsid w:val="00D22D99"/>
    <w:rsid w:val="00DF40BF"/>
    <w:rsid w:val="00E73344"/>
    <w:rsid w:val="00F72008"/>
    <w:rsid w:val="00F97EC8"/>
    <w:rsid w:val="00FA526C"/>
    <w:rsid w:val="00FC78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
    <w:name w:val="Light Shading"/>
    <w:basedOn w:val="Tablanormal"/>
    <w:uiPriority w:val="60"/>
    <w:rsid w:val="002F71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F71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Mencinsinresolver1">
    <w:name w:val="Mención sin resolver1"/>
    <w:basedOn w:val="Fuentedeprrafopredeter"/>
    <w:uiPriority w:val="99"/>
    <w:semiHidden/>
    <w:unhideWhenUsed/>
    <w:rsid w:val="002F71E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
    <w:name w:val="Light Shading"/>
    <w:basedOn w:val="Tablanormal"/>
    <w:uiPriority w:val="60"/>
    <w:rsid w:val="002F71E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F71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Mencinsinresolver1">
    <w:name w:val="Mención sin resolver1"/>
    <w:basedOn w:val="Fuentedeprrafopredeter"/>
    <w:uiPriority w:val="99"/>
    <w:semiHidden/>
    <w:unhideWhenUsed/>
    <w:rsid w:val="002F71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95150">
      <w:bodyDiv w:val="1"/>
      <w:marLeft w:val="0"/>
      <w:marRight w:val="0"/>
      <w:marTop w:val="0"/>
      <w:marBottom w:val="0"/>
      <w:divBdr>
        <w:top w:val="none" w:sz="0" w:space="0" w:color="auto"/>
        <w:left w:val="none" w:sz="0" w:space="0" w:color="auto"/>
        <w:bottom w:val="none" w:sz="0" w:space="0" w:color="auto"/>
        <w:right w:val="none" w:sz="0" w:space="0" w:color="auto"/>
      </w:divBdr>
    </w:div>
    <w:div w:id="335499965">
      <w:bodyDiv w:val="1"/>
      <w:marLeft w:val="0"/>
      <w:marRight w:val="0"/>
      <w:marTop w:val="0"/>
      <w:marBottom w:val="0"/>
      <w:divBdr>
        <w:top w:val="none" w:sz="0" w:space="0" w:color="auto"/>
        <w:left w:val="none" w:sz="0" w:space="0" w:color="auto"/>
        <w:bottom w:val="none" w:sz="0" w:space="0" w:color="auto"/>
        <w:right w:val="none" w:sz="0" w:space="0" w:color="auto"/>
      </w:divBdr>
    </w:div>
    <w:div w:id="421951010">
      <w:bodyDiv w:val="1"/>
      <w:marLeft w:val="0"/>
      <w:marRight w:val="0"/>
      <w:marTop w:val="0"/>
      <w:marBottom w:val="0"/>
      <w:divBdr>
        <w:top w:val="none" w:sz="0" w:space="0" w:color="auto"/>
        <w:left w:val="none" w:sz="0" w:space="0" w:color="auto"/>
        <w:bottom w:val="none" w:sz="0" w:space="0" w:color="auto"/>
        <w:right w:val="none" w:sz="0" w:space="0" w:color="auto"/>
      </w:divBdr>
    </w:div>
    <w:div w:id="707492649">
      <w:bodyDiv w:val="1"/>
      <w:marLeft w:val="0"/>
      <w:marRight w:val="0"/>
      <w:marTop w:val="0"/>
      <w:marBottom w:val="0"/>
      <w:divBdr>
        <w:top w:val="none" w:sz="0" w:space="0" w:color="auto"/>
        <w:left w:val="none" w:sz="0" w:space="0" w:color="auto"/>
        <w:bottom w:val="none" w:sz="0" w:space="0" w:color="auto"/>
        <w:right w:val="none" w:sz="0" w:space="0" w:color="auto"/>
      </w:divBdr>
    </w:div>
    <w:div w:id="801269702">
      <w:bodyDiv w:val="1"/>
      <w:marLeft w:val="0"/>
      <w:marRight w:val="0"/>
      <w:marTop w:val="0"/>
      <w:marBottom w:val="0"/>
      <w:divBdr>
        <w:top w:val="none" w:sz="0" w:space="0" w:color="auto"/>
        <w:left w:val="none" w:sz="0" w:space="0" w:color="auto"/>
        <w:bottom w:val="none" w:sz="0" w:space="0" w:color="auto"/>
        <w:right w:val="none" w:sz="0" w:space="0" w:color="auto"/>
      </w:divBdr>
    </w:div>
    <w:div w:id="1062172194">
      <w:bodyDiv w:val="1"/>
      <w:marLeft w:val="0"/>
      <w:marRight w:val="0"/>
      <w:marTop w:val="0"/>
      <w:marBottom w:val="0"/>
      <w:divBdr>
        <w:top w:val="none" w:sz="0" w:space="0" w:color="auto"/>
        <w:left w:val="none" w:sz="0" w:space="0" w:color="auto"/>
        <w:bottom w:val="none" w:sz="0" w:space="0" w:color="auto"/>
        <w:right w:val="none" w:sz="0" w:space="0" w:color="auto"/>
      </w:divBdr>
    </w:div>
    <w:div w:id="1069765306">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130708152">
      <w:bodyDiv w:val="1"/>
      <w:marLeft w:val="0"/>
      <w:marRight w:val="0"/>
      <w:marTop w:val="0"/>
      <w:marBottom w:val="0"/>
      <w:divBdr>
        <w:top w:val="none" w:sz="0" w:space="0" w:color="auto"/>
        <w:left w:val="none" w:sz="0" w:space="0" w:color="auto"/>
        <w:bottom w:val="none" w:sz="0" w:space="0" w:color="auto"/>
        <w:right w:val="none" w:sz="0" w:space="0" w:color="auto"/>
      </w:divBdr>
    </w:div>
    <w:div w:id="1499882031">
      <w:bodyDiv w:val="1"/>
      <w:marLeft w:val="0"/>
      <w:marRight w:val="0"/>
      <w:marTop w:val="0"/>
      <w:marBottom w:val="0"/>
      <w:divBdr>
        <w:top w:val="none" w:sz="0" w:space="0" w:color="auto"/>
        <w:left w:val="none" w:sz="0" w:space="0" w:color="auto"/>
        <w:bottom w:val="none" w:sz="0" w:space="0" w:color="auto"/>
        <w:right w:val="none" w:sz="0" w:space="0" w:color="auto"/>
      </w:divBdr>
    </w:div>
    <w:div w:id="1564606777">
      <w:bodyDiv w:val="1"/>
      <w:marLeft w:val="0"/>
      <w:marRight w:val="0"/>
      <w:marTop w:val="0"/>
      <w:marBottom w:val="0"/>
      <w:divBdr>
        <w:top w:val="none" w:sz="0" w:space="0" w:color="auto"/>
        <w:left w:val="none" w:sz="0" w:space="0" w:color="auto"/>
        <w:bottom w:val="none" w:sz="0" w:space="0" w:color="auto"/>
        <w:right w:val="none" w:sz="0" w:space="0" w:color="auto"/>
      </w:divBdr>
    </w:div>
    <w:div w:id="1608197910">
      <w:bodyDiv w:val="1"/>
      <w:marLeft w:val="0"/>
      <w:marRight w:val="0"/>
      <w:marTop w:val="0"/>
      <w:marBottom w:val="0"/>
      <w:divBdr>
        <w:top w:val="none" w:sz="0" w:space="0" w:color="auto"/>
        <w:left w:val="none" w:sz="0" w:space="0" w:color="auto"/>
        <w:bottom w:val="none" w:sz="0" w:space="0" w:color="auto"/>
        <w:right w:val="none" w:sz="0" w:space="0" w:color="auto"/>
      </w:divBdr>
    </w:div>
    <w:div w:id="1632125243">
      <w:bodyDiv w:val="1"/>
      <w:marLeft w:val="0"/>
      <w:marRight w:val="0"/>
      <w:marTop w:val="0"/>
      <w:marBottom w:val="0"/>
      <w:divBdr>
        <w:top w:val="none" w:sz="0" w:space="0" w:color="auto"/>
        <w:left w:val="none" w:sz="0" w:space="0" w:color="auto"/>
        <w:bottom w:val="none" w:sz="0" w:space="0" w:color="auto"/>
        <w:right w:val="none" w:sz="0" w:space="0" w:color="auto"/>
      </w:divBdr>
    </w:div>
    <w:div w:id="1902986199">
      <w:bodyDiv w:val="1"/>
      <w:marLeft w:val="0"/>
      <w:marRight w:val="0"/>
      <w:marTop w:val="0"/>
      <w:marBottom w:val="0"/>
      <w:divBdr>
        <w:top w:val="none" w:sz="0" w:space="0" w:color="auto"/>
        <w:left w:val="none" w:sz="0" w:space="0" w:color="auto"/>
        <w:bottom w:val="none" w:sz="0" w:space="0" w:color="auto"/>
        <w:right w:val="none" w:sz="0" w:space="0" w:color="auto"/>
      </w:divBdr>
    </w:div>
    <w:div w:id="20987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hyperlink" Target="http://www.transparenciapresupuestaria.gob.mx/es/PTP/Formato_Unico" TargetMode="Externa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hyperlink" Target="http://www.beta.inegi.org.mx/app/areasgeograficas/?ag=02"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www.educacionbc.edu.mx/publicaciones/estadisticas/2017/index.html" TargetMode="External"/><Relationship Id="rId29" Type="http://schemas.openxmlformats.org/officeDocument/2006/relationships/hyperlink" Target="http://indicadores.bajacalifornia.gob.mx/ejercicio_recursos-16.js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dicadores.bajacalifornia.gob.mx/ejercicio_recursos-16.jsp" TargetMode="External"/><Relationship Id="rId24" Type="http://schemas.openxmlformats.org/officeDocument/2006/relationships/hyperlink" Target="http://www.transparenciapresupuestaria.gob.mx/es/PTP/Formato_Unico" TargetMode="External"/><Relationship Id="rId32" Type="http://schemas.openxmlformats.org/officeDocument/2006/relationships/hyperlink" Target="http://www.coneval.org.mx/Evaluacion/MDE/Paginas/evaluacion_especifica_desempeno.aspx" TargetMode="External"/><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hyperlink" Target="http://www.transparenciapresupuestaria.gob.mx/es/PTP/Formato_Unico" TargetMode="External"/><Relationship Id="rId28" Type="http://schemas.openxmlformats.org/officeDocument/2006/relationships/hyperlink" Target="http://indicadores.bajacalifornia.gob.mx/consultaciudadana/listado-indicadores-17.jsp?sector=5"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hyperlink" Target="http://www.educacionbc.edu.m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www.educacionbc.edu.mx/publicaciones/estadisticas/2017/index.html" TargetMode="External"/><Relationship Id="rId27" Type="http://schemas.openxmlformats.org/officeDocument/2006/relationships/hyperlink" Target="http://www.snie.sep.gob.mx/indicadores_x_entidad_federativa.html" TargetMode="External"/><Relationship Id="rId30" Type="http://schemas.openxmlformats.org/officeDocument/2006/relationships/hyperlink" Target="http://dceg.bajacalifornia.gob.mx/sasip/frmPublicacionesDeOficioLeyAnterior.aspx?id=73"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1069189268008149E-2"/>
          <c:y val="0.11856392950881148"/>
          <c:w val="0.8204334354039079"/>
          <c:h val="0.83854674415698038"/>
        </c:manualLayout>
      </c:layout>
      <c:pie3DChart>
        <c:varyColors val="1"/>
        <c:ser>
          <c:idx val="0"/>
          <c:order val="0"/>
          <c:tx>
            <c:strRef>
              <c:f>Hoja1!$B$1</c:f>
              <c:strCache>
                <c:ptCount val="1"/>
                <c:pt idx="0">
                  <c:v>Alumnos de Educación Básica</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Hoja1!$A$2:$A$4</c:f>
              <c:strCache>
                <c:ptCount val="3"/>
                <c:pt idx="0">
                  <c:v>Preescolar</c:v>
                </c:pt>
                <c:pt idx="1">
                  <c:v>Primaria</c:v>
                </c:pt>
                <c:pt idx="2">
                  <c:v>Secundaria</c:v>
                </c:pt>
              </c:strCache>
            </c:strRef>
          </c:cat>
          <c:val>
            <c:numRef>
              <c:f>Hoja1!$B$2:$B$4</c:f>
              <c:numCache>
                <c:formatCode>General</c:formatCode>
                <c:ptCount val="3"/>
                <c:pt idx="0">
                  <c:v>15.5</c:v>
                </c:pt>
                <c:pt idx="1">
                  <c:v>56</c:v>
                </c:pt>
                <c:pt idx="2">
                  <c:v>28.4</c:v>
                </c:pt>
              </c:numCache>
            </c:numRef>
          </c:val>
          <c:extLst xmlns:c16r2="http://schemas.microsoft.com/office/drawing/2015/06/chart">
            <c:ext xmlns:c16="http://schemas.microsoft.com/office/drawing/2014/chart" uri="{C3380CC4-5D6E-409C-BE32-E72D297353CC}">
              <c16:uniqueId val="{00000000-EF02-4B81-A808-56668D0C735A}"/>
            </c:ext>
          </c:extLst>
        </c:ser>
        <c:dLbls>
          <c:showLegendKey val="0"/>
          <c:showVal val="0"/>
          <c:showCatName val="0"/>
          <c:showSerName val="0"/>
          <c:showPercent val="1"/>
          <c:showBubbleSize val="0"/>
          <c:showLeaderLines val="1"/>
        </c:dLbls>
      </c:pie3DChart>
    </c:plotArea>
    <c:legend>
      <c:legendPos val="r"/>
      <c:layout>
        <c:manualLayout>
          <c:xMode val="edge"/>
          <c:yMode val="edge"/>
          <c:x val="0.7941903616214635"/>
          <c:y val="0.4538220222472194"/>
          <c:w val="0.19192074948964716"/>
          <c:h val="0.31447912760904934"/>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s-MX"/>
              <a:t>Comparativo de la asignación inicial</a:t>
            </a:r>
            <a:r>
              <a:rPr lang="es-MX" baseline="0"/>
              <a:t> de Recursos FONE para el Estado de baja California</a:t>
            </a:r>
            <a:endParaRPr lang="es-MX"/>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354403616214641"/>
          <c:y val="0.26822654027412118"/>
          <c:w val="0.69099300087489113"/>
          <c:h val="0.54857296510164422"/>
        </c:manualLayout>
      </c:layout>
      <c:bar3DChart>
        <c:barDir val="col"/>
        <c:grouping val="clustered"/>
        <c:varyColors val="0"/>
        <c:ser>
          <c:idx val="0"/>
          <c:order val="0"/>
          <c:tx>
            <c:strRef>
              <c:f>Hoja1!$B$1</c:f>
              <c:strCache>
                <c:ptCount val="1"/>
                <c:pt idx="0">
                  <c:v>2016</c:v>
                </c:pt>
              </c:strCache>
            </c:strRef>
          </c:tx>
          <c:invertIfNegative val="0"/>
          <c:cat>
            <c:strRef>
              <c:f>Hoja1!$A$2:$A$4</c:f>
              <c:strCache>
                <c:ptCount val="3"/>
                <c:pt idx="0">
                  <c:v>Servicios Personales</c:v>
                </c:pt>
                <c:pt idx="1">
                  <c:v>Gastos de Operación</c:v>
                </c:pt>
                <c:pt idx="2">
                  <c:v>Fondo de Compensación</c:v>
                </c:pt>
              </c:strCache>
            </c:strRef>
          </c:cat>
          <c:val>
            <c:numRef>
              <c:f>Hoja1!$B$2:$B$4</c:f>
              <c:numCache>
                <c:formatCode>_("$"* #,##0.00_);_("$"* \(#,##0.00\);_("$"* "-"??_);_(@_)</c:formatCode>
                <c:ptCount val="3"/>
                <c:pt idx="0">
                  <c:v>9130327547</c:v>
                </c:pt>
                <c:pt idx="1">
                  <c:v>1056478346</c:v>
                </c:pt>
                <c:pt idx="2">
                  <c:v>193277846</c:v>
                </c:pt>
              </c:numCache>
            </c:numRef>
          </c:val>
          <c:extLst xmlns:c16r2="http://schemas.microsoft.com/office/drawing/2015/06/chart">
            <c:ext xmlns:c16="http://schemas.microsoft.com/office/drawing/2014/chart" uri="{C3380CC4-5D6E-409C-BE32-E72D297353CC}">
              <c16:uniqueId val="{00000000-FDB5-4810-AC1C-F86AB15779BF}"/>
            </c:ext>
          </c:extLst>
        </c:ser>
        <c:ser>
          <c:idx val="1"/>
          <c:order val="1"/>
          <c:tx>
            <c:strRef>
              <c:f>Hoja1!$C$1</c:f>
              <c:strCache>
                <c:ptCount val="1"/>
                <c:pt idx="0">
                  <c:v>2017</c:v>
                </c:pt>
              </c:strCache>
            </c:strRef>
          </c:tx>
          <c:invertIfNegative val="0"/>
          <c:cat>
            <c:strRef>
              <c:f>Hoja1!$A$2:$A$4</c:f>
              <c:strCache>
                <c:ptCount val="3"/>
                <c:pt idx="0">
                  <c:v>Servicios Personales</c:v>
                </c:pt>
                <c:pt idx="1">
                  <c:v>Gastos de Operación</c:v>
                </c:pt>
                <c:pt idx="2">
                  <c:v>Fondo de Compensación</c:v>
                </c:pt>
              </c:strCache>
            </c:strRef>
          </c:cat>
          <c:val>
            <c:numRef>
              <c:f>Hoja1!$C$2:$C$4</c:f>
              <c:numCache>
                <c:formatCode>_("$"* #,##0.00_);_("$"* \(#,##0.00\);_("$"* "-"??_);_(@_)</c:formatCode>
                <c:ptCount val="3"/>
                <c:pt idx="0">
                  <c:v>9481569345.9799995</c:v>
                </c:pt>
                <c:pt idx="1">
                  <c:v>1045216724.1</c:v>
                </c:pt>
                <c:pt idx="2">
                  <c:v>199356530.97999999</c:v>
                </c:pt>
              </c:numCache>
            </c:numRef>
          </c:val>
          <c:extLst xmlns:c16r2="http://schemas.microsoft.com/office/drawing/2015/06/chart">
            <c:ext xmlns:c16="http://schemas.microsoft.com/office/drawing/2014/chart" uri="{C3380CC4-5D6E-409C-BE32-E72D297353CC}">
              <c16:uniqueId val="{00000001-FDB5-4810-AC1C-F86AB15779BF}"/>
            </c:ext>
          </c:extLst>
        </c:ser>
        <c:dLbls>
          <c:showLegendKey val="0"/>
          <c:showVal val="0"/>
          <c:showCatName val="0"/>
          <c:showSerName val="0"/>
          <c:showPercent val="0"/>
          <c:showBubbleSize val="0"/>
        </c:dLbls>
        <c:gapWidth val="150"/>
        <c:shape val="box"/>
        <c:axId val="260057728"/>
        <c:axId val="260071808"/>
        <c:axId val="0"/>
      </c:bar3DChart>
      <c:catAx>
        <c:axId val="260057728"/>
        <c:scaling>
          <c:orientation val="minMax"/>
        </c:scaling>
        <c:delete val="0"/>
        <c:axPos val="b"/>
        <c:numFmt formatCode="General" sourceLinked="0"/>
        <c:majorTickMark val="none"/>
        <c:minorTickMark val="none"/>
        <c:tickLblPos val="nextTo"/>
        <c:crossAx val="260071808"/>
        <c:crosses val="autoZero"/>
        <c:auto val="1"/>
        <c:lblAlgn val="ctr"/>
        <c:lblOffset val="100"/>
        <c:noMultiLvlLbl val="0"/>
      </c:catAx>
      <c:valAx>
        <c:axId val="260071808"/>
        <c:scaling>
          <c:orientation val="minMax"/>
        </c:scaling>
        <c:delete val="0"/>
        <c:axPos val="l"/>
        <c:majorGridlines/>
        <c:title>
          <c:overlay val="0"/>
        </c:title>
        <c:numFmt formatCode="_(&quot;$&quot;* #,##0.00_);_(&quot;$&quot;* \(#,##0.00\);_(&quot;$&quot;* &quot;-&quot;??_);_(@_)" sourceLinked="0"/>
        <c:majorTickMark val="none"/>
        <c:minorTickMark val="none"/>
        <c:tickLblPos val="nextTo"/>
        <c:crossAx val="2600577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doughnutChart>
        <c:varyColors val="1"/>
        <c:ser>
          <c:idx val="0"/>
          <c:order val="0"/>
          <c:tx>
            <c:strRef>
              <c:f>Hoja1!$A$2</c:f>
              <c:strCache>
                <c:ptCount val="1"/>
                <c:pt idx="0">
                  <c:v>2017-2018</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Hoja1!$B$1:$D$1</c:f>
              <c:strCache>
                <c:ptCount val="3"/>
                <c:pt idx="0">
                  <c:v>Preescolar</c:v>
                </c:pt>
                <c:pt idx="1">
                  <c:v>Primaria </c:v>
                </c:pt>
                <c:pt idx="2">
                  <c:v>Secundaria</c:v>
                </c:pt>
              </c:strCache>
            </c:strRef>
          </c:cat>
          <c:val>
            <c:numRef>
              <c:f>Hoja1!$B$2:$D$2</c:f>
              <c:numCache>
                <c:formatCode>#,##0</c:formatCode>
                <c:ptCount val="3"/>
                <c:pt idx="0">
                  <c:v>113707</c:v>
                </c:pt>
                <c:pt idx="1">
                  <c:v>391875</c:v>
                </c:pt>
                <c:pt idx="2">
                  <c:v>182189</c:v>
                </c:pt>
              </c:numCache>
            </c:numRef>
          </c:val>
          <c:extLst xmlns:c16r2="http://schemas.microsoft.com/office/drawing/2015/06/chart">
            <c:ext xmlns:c16="http://schemas.microsoft.com/office/drawing/2014/chart" uri="{C3380CC4-5D6E-409C-BE32-E72D297353CC}">
              <c16:uniqueId val="{00000000-E195-4B1B-B97D-3D441FBF6E79}"/>
            </c:ext>
          </c:extLst>
        </c:ser>
        <c:dLbls>
          <c:showLegendKey val="0"/>
          <c:showVal val="1"/>
          <c:showCatName val="1"/>
          <c:showSerName val="0"/>
          <c:showPercent val="0"/>
          <c:showBubbleSize val="0"/>
          <c:showLeaderLines val="1"/>
        </c:dLbls>
        <c:firstSliceAng val="0"/>
        <c:holeSize val="50"/>
      </c:doughnut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Preescolar</c:v>
                </c:pt>
              </c:strCache>
            </c:strRef>
          </c:tx>
          <c:invertIfNegative val="0"/>
          <c:cat>
            <c:strRef>
              <c:f>Hoja1!$A$2:$A$3</c:f>
              <c:strCache>
                <c:ptCount val="2"/>
                <c:pt idx="0">
                  <c:v>2016-2017</c:v>
                </c:pt>
                <c:pt idx="1">
                  <c:v>2017-2018</c:v>
                </c:pt>
              </c:strCache>
            </c:strRef>
          </c:cat>
          <c:val>
            <c:numRef>
              <c:f>Hoja1!$B$2:$B$3</c:f>
              <c:numCache>
                <c:formatCode>#,##0</c:formatCode>
                <c:ptCount val="2"/>
                <c:pt idx="0" formatCode="#,##0_);\(#,##0\)">
                  <c:v>107233</c:v>
                </c:pt>
                <c:pt idx="1">
                  <c:v>113707</c:v>
                </c:pt>
              </c:numCache>
            </c:numRef>
          </c:val>
          <c:extLst xmlns:c16r2="http://schemas.microsoft.com/office/drawing/2015/06/chart">
            <c:ext xmlns:c16="http://schemas.microsoft.com/office/drawing/2014/chart" uri="{C3380CC4-5D6E-409C-BE32-E72D297353CC}">
              <c16:uniqueId val="{00000000-B606-4CC4-8178-5A9A4968D2C8}"/>
            </c:ext>
          </c:extLst>
        </c:ser>
        <c:ser>
          <c:idx val="1"/>
          <c:order val="1"/>
          <c:tx>
            <c:strRef>
              <c:f>Hoja1!$C$1</c:f>
              <c:strCache>
                <c:ptCount val="1"/>
                <c:pt idx="0">
                  <c:v>Primaria</c:v>
                </c:pt>
              </c:strCache>
            </c:strRef>
          </c:tx>
          <c:invertIfNegative val="0"/>
          <c:cat>
            <c:strRef>
              <c:f>Hoja1!$A$2:$A$3</c:f>
              <c:strCache>
                <c:ptCount val="2"/>
                <c:pt idx="0">
                  <c:v>2016-2017</c:v>
                </c:pt>
                <c:pt idx="1">
                  <c:v>2017-2018</c:v>
                </c:pt>
              </c:strCache>
            </c:strRef>
          </c:cat>
          <c:val>
            <c:numRef>
              <c:f>Hoja1!$C$2:$C$3</c:f>
              <c:numCache>
                <c:formatCode>#,##0</c:formatCode>
                <c:ptCount val="2"/>
                <c:pt idx="0" formatCode="#,##0_);\(#,##0\)">
                  <c:v>387720</c:v>
                </c:pt>
                <c:pt idx="1">
                  <c:v>391875</c:v>
                </c:pt>
              </c:numCache>
            </c:numRef>
          </c:val>
          <c:extLst xmlns:c16r2="http://schemas.microsoft.com/office/drawing/2015/06/chart">
            <c:ext xmlns:c16="http://schemas.microsoft.com/office/drawing/2014/chart" uri="{C3380CC4-5D6E-409C-BE32-E72D297353CC}">
              <c16:uniqueId val="{00000001-B606-4CC4-8178-5A9A4968D2C8}"/>
            </c:ext>
          </c:extLst>
        </c:ser>
        <c:ser>
          <c:idx val="2"/>
          <c:order val="2"/>
          <c:tx>
            <c:strRef>
              <c:f>Hoja1!$D$1</c:f>
              <c:strCache>
                <c:ptCount val="1"/>
                <c:pt idx="0">
                  <c:v>Secundaria</c:v>
                </c:pt>
              </c:strCache>
            </c:strRef>
          </c:tx>
          <c:invertIfNegative val="0"/>
          <c:cat>
            <c:strRef>
              <c:f>Hoja1!$A$2:$A$3</c:f>
              <c:strCache>
                <c:ptCount val="2"/>
                <c:pt idx="0">
                  <c:v>2016-2017</c:v>
                </c:pt>
                <c:pt idx="1">
                  <c:v>2017-2018</c:v>
                </c:pt>
              </c:strCache>
            </c:strRef>
          </c:cat>
          <c:val>
            <c:numRef>
              <c:f>Hoja1!$D$2:$D$3</c:f>
              <c:numCache>
                <c:formatCode>#,##0</c:formatCode>
                <c:ptCount val="2"/>
                <c:pt idx="0" formatCode="#,##0_);\(#,##0\)">
                  <c:v>199307</c:v>
                </c:pt>
                <c:pt idx="1">
                  <c:v>182189</c:v>
                </c:pt>
              </c:numCache>
            </c:numRef>
          </c:val>
          <c:extLst xmlns:c16r2="http://schemas.microsoft.com/office/drawing/2015/06/chart">
            <c:ext xmlns:c16="http://schemas.microsoft.com/office/drawing/2014/chart" uri="{C3380CC4-5D6E-409C-BE32-E72D297353CC}">
              <c16:uniqueId val="{00000002-B606-4CC4-8178-5A9A4968D2C8}"/>
            </c:ext>
          </c:extLst>
        </c:ser>
        <c:dLbls>
          <c:showLegendKey val="0"/>
          <c:showVal val="0"/>
          <c:showCatName val="0"/>
          <c:showSerName val="0"/>
          <c:showPercent val="0"/>
          <c:showBubbleSize val="0"/>
        </c:dLbls>
        <c:gapWidth val="150"/>
        <c:shape val="box"/>
        <c:axId val="260300800"/>
        <c:axId val="260302336"/>
        <c:axId val="0"/>
      </c:bar3DChart>
      <c:catAx>
        <c:axId val="260300800"/>
        <c:scaling>
          <c:orientation val="minMax"/>
        </c:scaling>
        <c:delete val="0"/>
        <c:axPos val="b"/>
        <c:numFmt formatCode="General" sourceLinked="0"/>
        <c:majorTickMark val="out"/>
        <c:minorTickMark val="none"/>
        <c:tickLblPos val="nextTo"/>
        <c:crossAx val="260302336"/>
        <c:crosses val="autoZero"/>
        <c:auto val="1"/>
        <c:lblAlgn val="ctr"/>
        <c:lblOffset val="100"/>
        <c:noMultiLvlLbl val="0"/>
      </c:catAx>
      <c:valAx>
        <c:axId val="260302336"/>
        <c:scaling>
          <c:orientation val="minMax"/>
        </c:scaling>
        <c:delete val="0"/>
        <c:axPos val="l"/>
        <c:majorGridlines/>
        <c:numFmt formatCode="#,##0_);\(#,##0\)" sourceLinked="1"/>
        <c:majorTickMark val="out"/>
        <c:minorTickMark val="none"/>
        <c:tickLblPos val="nextTo"/>
        <c:crossAx val="260300800"/>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763B52-330A-4D08-9A6B-A78FFDA1BEF2}"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s-MX"/>
        </a:p>
      </dgm:t>
    </dgm:pt>
    <dgm:pt modelId="{ADA2656F-FF40-4B04-AED4-CBCC6FBF9414}">
      <dgm:prSet phldrT="[Texto]" custT="1"/>
      <dgm:spPr/>
      <dgm:t>
        <a:bodyPr/>
        <a:lstStyle/>
        <a:p>
          <a:r>
            <a:rPr lang="es-MX" sz="1100" b="1">
              <a:solidFill>
                <a:sysClr val="windowText" lastClr="000000"/>
              </a:solidFill>
              <a:latin typeface="Century Gothic" pitchFamily="34" charset="0"/>
            </a:rPr>
            <a:t>Plan Nacional de Desarrollo 2013-2018 </a:t>
          </a:r>
        </a:p>
      </dgm:t>
    </dgm:pt>
    <dgm:pt modelId="{88A301EE-9718-46CE-8FD0-329C69DE5771}" type="parTrans" cxnId="{F78B7D84-7DA0-4F88-81C4-B1A1F28542F7}">
      <dgm:prSet/>
      <dgm:spPr/>
      <dgm:t>
        <a:bodyPr/>
        <a:lstStyle/>
        <a:p>
          <a:endParaRPr lang="es-MX">
            <a:solidFill>
              <a:sysClr val="windowText" lastClr="000000"/>
            </a:solidFill>
            <a:latin typeface="Century Gothic" pitchFamily="34" charset="0"/>
          </a:endParaRPr>
        </a:p>
      </dgm:t>
    </dgm:pt>
    <dgm:pt modelId="{8FAB2E41-4869-4AC2-AC06-E56B52073F55}" type="sibTrans" cxnId="{F78B7D84-7DA0-4F88-81C4-B1A1F28542F7}">
      <dgm:prSet/>
      <dgm:spPr/>
      <dgm:t>
        <a:bodyPr/>
        <a:lstStyle/>
        <a:p>
          <a:endParaRPr lang="es-MX">
            <a:solidFill>
              <a:sysClr val="windowText" lastClr="000000"/>
            </a:solidFill>
            <a:latin typeface="Century Gothic" pitchFamily="34" charset="0"/>
          </a:endParaRPr>
        </a:p>
      </dgm:t>
    </dgm:pt>
    <dgm:pt modelId="{C5334D6E-7DD7-49BF-B32B-17651473D054}">
      <dgm:prSet phldrT="[Texto]" custT="1"/>
      <dgm:spPr/>
      <dgm:t>
        <a:bodyPr/>
        <a:lstStyle/>
        <a:p>
          <a:pPr algn="ctr"/>
          <a:r>
            <a:rPr lang="es-MX" sz="900">
              <a:solidFill>
                <a:sysClr val="windowText" lastClr="000000"/>
              </a:solidFill>
              <a:latin typeface="Century Gothic" pitchFamily="34" charset="0"/>
            </a:rPr>
            <a:t>"México con Educación de Calidad"</a:t>
          </a:r>
        </a:p>
      </dgm:t>
    </dgm:pt>
    <dgm:pt modelId="{FDFB3332-CD2B-4077-99B7-9F730AE7FE96}" type="parTrans" cxnId="{40DD6BDE-4F7B-42EB-9918-BC498DA7A790}">
      <dgm:prSet/>
      <dgm:spPr/>
      <dgm:t>
        <a:bodyPr/>
        <a:lstStyle/>
        <a:p>
          <a:endParaRPr lang="es-MX">
            <a:solidFill>
              <a:sysClr val="windowText" lastClr="000000"/>
            </a:solidFill>
            <a:latin typeface="Century Gothic" pitchFamily="34" charset="0"/>
          </a:endParaRPr>
        </a:p>
      </dgm:t>
    </dgm:pt>
    <dgm:pt modelId="{87DA6C27-0C4F-4CEF-B297-588E0B24ABEB}" type="sibTrans" cxnId="{40DD6BDE-4F7B-42EB-9918-BC498DA7A790}">
      <dgm:prSet/>
      <dgm:spPr/>
      <dgm:t>
        <a:bodyPr/>
        <a:lstStyle/>
        <a:p>
          <a:endParaRPr lang="es-MX">
            <a:solidFill>
              <a:sysClr val="windowText" lastClr="000000"/>
            </a:solidFill>
            <a:latin typeface="Century Gothic" pitchFamily="34" charset="0"/>
          </a:endParaRPr>
        </a:p>
      </dgm:t>
    </dgm:pt>
    <dgm:pt modelId="{4A4774A4-BA18-4A4D-8446-F764021F5C6D}">
      <dgm:prSet phldrT="[Texto]" custT="1"/>
      <dgm:spPr/>
      <dgm:t>
        <a:bodyPr/>
        <a:lstStyle/>
        <a:p>
          <a:r>
            <a:rPr lang="es-MX" sz="1100" b="1">
              <a:solidFill>
                <a:sysClr val="windowText" lastClr="000000"/>
              </a:solidFill>
              <a:latin typeface="Century Gothic" pitchFamily="34" charset="0"/>
            </a:rPr>
            <a:t>Programa Nacional Sectorial</a:t>
          </a:r>
        </a:p>
      </dgm:t>
    </dgm:pt>
    <dgm:pt modelId="{57C019F7-FB85-4A7E-B231-84299B050378}" type="parTrans" cxnId="{50750755-F8A3-42B7-AA56-0CE7E1D04504}">
      <dgm:prSet/>
      <dgm:spPr/>
      <dgm:t>
        <a:bodyPr/>
        <a:lstStyle/>
        <a:p>
          <a:endParaRPr lang="es-MX">
            <a:solidFill>
              <a:sysClr val="windowText" lastClr="000000"/>
            </a:solidFill>
            <a:latin typeface="Century Gothic" pitchFamily="34" charset="0"/>
          </a:endParaRPr>
        </a:p>
      </dgm:t>
    </dgm:pt>
    <dgm:pt modelId="{207CC195-B626-4804-8D80-14BDC5A3E8AE}" type="sibTrans" cxnId="{50750755-F8A3-42B7-AA56-0CE7E1D04504}">
      <dgm:prSet/>
      <dgm:spPr/>
      <dgm:t>
        <a:bodyPr/>
        <a:lstStyle/>
        <a:p>
          <a:endParaRPr lang="es-MX">
            <a:solidFill>
              <a:sysClr val="windowText" lastClr="000000"/>
            </a:solidFill>
            <a:latin typeface="Century Gothic" pitchFamily="34" charset="0"/>
          </a:endParaRPr>
        </a:p>
      </dgm:t>
    </dgm:pt>
    <dgm:pt modelId="{DC0FCABB-8A67-4320-A746-976361CC127B}">
      <dgm:prSet phldrT="[Texto]" custT="1"/>
      <dgm:spPr/>
      <dgm:t>
        <a:bodyPr/>
        <a:lstStyle/>
        <a:p>
          <a:pPr algn="ctr"/>
          <a:r>
            <a:rPr lang="es-MX" sz="900">
              <a:solidFill>
                <a:sysClr val="windowText" lastClr="000000"/>
              </a:solidFill>
              <a:latin typeface="Century Gothic" pitchFamily="34" charset="0"/>
            </a:rPr>
            <a:t>"Programa Sectorial de Educación 2013-2018"</a:t>
          </a:r>
        </a:p>
      </dgm:t>
    </dgm:pt>
    <dgm:pt modelId="{604D2BE7-E63D-4242-9571-119536C44790}" type="parTrans" cxnId="{E905B196-3987-4205-BE2F-2D6E409EFCE5}">
      <dgm:prSet/>
      <dgm:spPr/>
      <dgm:t>
        <a:bodyPr/>
        <a:lstStyle/>
        <a:p>
          <a:endParaRPr lang="es-MX">
            <a:solidFill>
              <a:sysClr val="windowText" lastClr="000000"/>
            </a:solidFill>
            <a:latin typeface="Century Gothic" pitchFamily="34" charset="0"/>
          </a:endParaRPr>
        </a:p>
      </dgm:t>
    </dgm:pt>
    <dgm:pt modelId="{55D0AFDC-1327-44B9-8F0F-EF798769CA64}" type="sibTrans" cxnId="{E905B196-3987-4205-BE2F-2D6E409EFCE5}">
      <dgm:prSet/>
      <dgm:spPr/>
      <dgm:t>
        <a:bodyPr/>
        <a:lstStyle/>
        <a:p>
          <a:endParaRPr lang="es-MX">
            <a:solidFill>
              <a:sysClr val="windowText" lastClr="000000"/>
            </a:solidFill>
            <a:latin typeface="Century Gothic" pitchFamily="34" charset="0"/>
          </a:endParaRPr>
        </a:p>
      </dgm:t>
    </dgm:pt>
    <dgm:pt modelId="{EC93F6B2-C9A2-4B77-9E62-957B8E2ABA7B}">
      <dgm:prSet phldrT="[Texto]" custT="1"/>
      <dgm:spPr/>
      <dgm:t>
        <a:bodyPr/>
        <a:lstStyle/>
        <a:p>
          <a:r>
            <a:rPr lang="es-MX" sz="1100" b="1">
              <a:solidFill>
                <a:sysClr val="windowText" lastClr="000000"/>
              </a:solidFill>
              <a:latin typeface="Century Gothic" pitchFamily="34" charset="0"/>
            </a:rPr>
            <a:t>Programa Sectorial Estatal </a:t>
          </a:r>
        </a:p>
      </dgm:t>
    </dgm:pt>
    <dgm:pt modelId="{25ECAFC1-DF33-4EC8-A7EF-19BEF8CB1953}" type="parTrans" cxnId="{A157EFE7-D21B-4541-8CE9-74F96D826410}">
      <dgm:prSet/>
      <dgm:spPr/>
      <dgm:t>
        <a:bodyPr/>
        <a:lstStyle/>
        <a:p>
          <a:endParaRPr lang="es-MX">
            <a:solidFill>
              <a:sysClr val="windowText" lastClr="000000"/>
            </a:solidFill>
            <a:latin typeface="Century Gothic" pitchFamily="34" charset="0"/>
          </a:endParaRPr>
        </a:p>
      </dgm:t>
    </dgm:pt>
    <dgm:pt modelId="{A416BEDB-802E-4E48-8C40-4D8D3A5B9DDC}" type="sibTrans" cxnId="{A157EFE7-D21B-4541-8CE9-74F96D826410}">
      <dgm:prSet/>
      <dgm:spPr/>
      <dgm:t>
        <a:bodyPr/>
        <a:lstStyle/>
        <a:p>
          <a:endParaRPr lang="es-MX">
            <a:solidFill>
              <a:sysClr val="windowText" lastClr="000000"/>
            </a:solidFill>
            <a:latin typeface="Century Gothic" pitchFamily="34" charset="0"/>
          </a:endParaRPr>
        </a:p>
      </dgm:t>
    </dgm:pt>
    <dgm:pt modelId="{82100A5E-A482-470F-A072-299074252201}">
      <dgm:prSet phldrT="[Texto]" custT="1"/>
      <dgm:spPr/>
      <dgm:t>
        <a:bodyPr/>
        <a:lstStyle/>
        <a:p>
          <a:pPr algn="ctr"/>
          <a:r>
            <a:rPr lang="es-MX" sz="900">
              <a:solidFill>
                <a:sysClr val="windowText" lastClr="000000"/>
              </a:solidFill>
              <a:latin typeface="Century Gothic" pitchFamily="34" charset="0"/>
            </a:rPr>
            <a:t>"Programa de Educación BC 2015-2018"</a:t>
          </a:r>
        </a:p>
      </dgm:t>
    </dgm:pt>
    <dgm:pt modelId="{ED3AC03A-836B-41BB-BEA4-2E27EE261060}" type="parTrans" cxnId="{6BA9805F-E079-41F6-8F67-2C9612BC1FB5}">
      <dgm:prSet/>
      <dgm:spPr/>
      <dgm:t>
        <a:bodyPr/>
        <a:lstStyle/>
        <a:p>
          <a:endParaRPr lang="es-MX">
            <a:solidFill>
              <a:sysClr val="windowText" lastClr="000000"/>
            </a:solidFill>
            <a:latin typeface="Century Gothic" pitchFamily="34" charset="0"/>
          </a:endParaRPr>
        </a:p>
      </dgm:t>
    </dgm:pt>
    <dgm:pt modelId="{A6340149-812F-454F-9DDA-219C03DDC138}" type="sibTrans" cxnId="{6BA9805F-E079-41F6-8F67-2C9612BC1FB5}">
      <dgm:prSet/>
      <dgm:spPr/>
      <dgm:t>
        <a:bodyPr/>
        <a:lstStyle/>
        <a:p>
          <a:endParaRPr lang="es-MX">
            <a:solidFill>
              <a:sysClr val="windowText" lastClr="000000"/>
            </a:solidFill>
            <a:latin typeface="Century Gothic" pitchFamily="34" charset="0"/>
          </a:endParaRPr>
        </a:p>
      </dgm:t>
    </dgm:pt>
    <dgm:pt modelId="{6AB90574-5317-4731-A54E-04B25D442BCF}">
      <dgm:prSet phldrT="[Texto]" custT="1"/>
      <dgm:spPr/>
      <dgm:t>
        <a:bodyPr/>
        <a:lstStyle/>
        <a:p>
          <a:r>
            <a:rPr lang="es-MX" sz="1100" b="1">
              <a:solidFill>
                <a:sysClr val="windowText" lastClr="000000"/>
              </a:solidFill>
              <a:latin typeface="Century Gothic" pitchFamily="34" charset="0"/>
            </a:rPr>
            <a:t>Plan Estatal de Desarrollo 2014-2019  </a:t>
          </a:r>
        </a:p>
      </dgm:t>
    </dgm:pt>
    <dgm:pt modelId="{5E0962CF-91AA-4335-A7E7-8FEE8D3432FE}" type="parTrans" cxnId="{500D17D6-15BB-48F9-9C77-258EDCBF90C8}">
      <dgm:prSet/>
      <dgm:spPr/>
      <dgm:t>
        <a:bodyPr/>
        <a:lstStyle/>
        <a:p>
          <a:endParaRPr lang="es-MX">
            <a:solidFill>
              <a:sysClr val="windowText" lastClr="000000"/>
            </a:solidFill>
            <a:latin typeface="Century Gothic" pitchFamily="34" charset="0"/>
          </a:endParaRPr>
        </a:p>
      </dgm:t>
    </dgm:pt>
    <dgm:pt modelId="{12F10175-2B1D-42FA-A94B-124413C1523F}" type="sibTrans" cxnId="{500D17D6-15BB-48F9-9C77-258EDCBF90C8}">
      <dgm:prSet/>
      <dgm:spPr/>
      <dgm:t>
        <a:bodyPr/>
        <a:lstStyle/>
        <a:p>
          <a:endParaRPr lang="es-MX">
            <a:solidFill>
              <a:sysClr val="windowText" lastClr="000000"/>
            </a:solidFill>
            <a:latin typeface="Century Gothic" pitchFamily="34" charset="0"/>
          </a:endParaRPr>
        </a:p>
      </dgm:t>
    </dgm:pt>
    <dgm:pt modelId="{71E2D804-A6F2-4C47-B274-DC57F517F255}">
      <dgm:prSet phldrT="[Texto]" custT="1"/>
      <dgm:spPr/>
      <dgm:t>
        <a:bodyPr/>
        <a:lstStyle/>
        <a:p>
          <a:pPr algn="ctr"/>
          <a:r>
            <a:rPr lang="es-MX" sz="900">
              <a:solidFill>
                <a:sysClr val="windowText" lastClr="000000"/>
              </a:solidFill>
              <a:latin typeface="Century Gothic" pitchFamily="34" charset="0"/>
            </a:rPr>
            <a:t>"Educación para la Vida"</a:t>
          </a:r>
        </a:p>
      </dgm:t>
    </dgm:pt>
    <dgm:pt modelId="{348E66F3-B020-40C3-B5C7-FF7BCCB55DFD}" type="parTrans" cxnId="{B2D4867E-8C67-4BCE-BDA8-DD157614B8B5}">
      <dgm:prSet/>
      <dgm:spPr/>
      <dgm:t>
        <a:bodyPr/>
        <a:lstStyle/>
        <a:p>
          <a:endParaRPr lang="es-MX">
            <a:solidFill>
              <a:sysClr val="windowText" lastClr="000000"/>
            </a:solidFill>
            <a:latin typeface="Century Gothic" pitchFamily="34" charset="0"/>
          </a:endParaRPr>
        </a:p>
      </dgm:t>
    </dgm:pt>
    <dgm:pt modelId="{C288D832-2605-4833-B19D-034F987DA66D}" type="sibTrans" cxnId="{B2D4867E-8C67-4BCE-BDA8-DD157614B8B5}">
      <dgm:prSet/>
      <dgm:spPr/>
      <dgm:t>
        <a:bodyPr/>
        <a:lstStyle/>
        <a:p>
          <a:endParaRPr lang="es-MX">
            <a:solidFill>
              <a:sysClr val="windowText" lastClr="000000"/>
            </a:solidFill>
            <a:latin typeface="Century Gothic" pitchFamily="34" charset="0"/>
          </a:endParaRPr>
        </a:p>
      </dgm:t>
    </dgm:pt>
    <dgm:pt modelId="{94C51DBE-507A-4FE8-93F5-E13F7238627C}" type="pres">
      <dgm:prSet presAssocID="{7D763B52-330A-4D08-9A6B-A78FFDA1BEF2}" presName="Name0" presStyleCnt="0">
        <dgm:presLayoutVars>
          <dgm:chMax val="5"/>
          <dgm:chPref val="5"/>
          <dgm:dir/>
          <dgm:animLvl val="lvl"/>
        </dgm:presLayoutVars>
      </dgm:prSet>
      <dgm:spPr/>
      <dgm:t>
        <a:bodyPr/>
        <a:lstStyle/>
        <a:p>
          <a:endParaRPr lang="es-ES"/>
        </a:p>
      </dgm:t>
    </dgm:pt>
    <dgm:pt modelId="{A77F9CC3-228E-44A0-98F3-5A3468F94551}" type="pres">
      <dgm:prSet presAssocID="{ADA2656F-FF40-4B04-AED4-CBCC6FBF9414}" presName="parentText1" presStyleLbl="node1" presStyleIdx="0" presStyleCnt="4">
        <dgm:presLayoutVars>
          <dgm:chMax/>
          <dgm:chPref val="3"/>
          <dgm:bulletEnabled val="1"/>
        </dgm:presLayoutVars>
      </dgm:prSet>
      <dgm:spPr/>
      <dgm:t>
        <a:bodyPr/>
        <a:lstStyle/>
        <a:p>
          <a:endParaRPr lang="es-ES"/>
        </a:p>
      </dgm:t>
    </dgm:pt>
    <dgm:pt modelId="{11515CDA-337D-428F-A74F-62354093E587}" type="pres">
      <dgm:prSet presAssocID="{ADA2656F-FF40-4B04-AED4-CBCC6FBF9414}" presName="childText1" presStyleLbl="solidAlignAcc1" presStyleIdx="0" presStyleCnt="4" custScaleX="96287" custScaleY="36634" custLinFactNeighborX="-825" custLinFactNeighborY="-30672">
        <dgm:presLayoutVars>
          <dgm:chMax val="0"/>
          <dgm:chPref val="0"/>
          <dgm:bulletEnabled val="1"/>
        </dgm:presLayoutVars>
      </dgm:prSet>
      <dgm:spPr/>
      <dgm:t>
        <a:bodyPr/>
        <a:lstStyle/>
        <a:p>
          <a:endParaRPr lang="es-ES"/>
        </a:p>
      </dgm:t>
    </dgm:pt>
    <dgm:pt modelId="{84F3D130-436F-4E07-8644-D6A3FB4FABF6}" type="pres">
      <dgm:prSet presAssocID="{4A4774A4-BA18-4A4D-8446-F764021F5C6D}" presName="parentText2" presStyleLbl="node1" presStyleIdx="1" presStyleCnt="4">
        <dgm:presLayoutVars>
          <dgm:chMax/>
          <dgm:chPref val="3"/>
          <dgm:bulletEnabled val="1"/>
        </dgm:presLayoutVars>
      </dgm:prSet>
      <dgm:spPr/>
      <dgm:t>
        <a:bodyPr/>
        <a:lstStyle/>
        <a:p>
          <a:endParaRPr lang="es-ES"/>
        </a:p>
      </dgm:t>
    </dgm:pt>
    <dgm:pt modelId="{FAD92FF5-D4DB-4984-990E-7A3DBEA50811}" type="pres">
      <dgm:prSet presAssocID="{4A4774A4-BA18-4A4D-8446-F764021F5C6D}" presName="childText2" presStyleLbl="solidAlignAcc1" presStyleIdx="1" presStyleCnt="4" custScaleX="95906" custScaleY="39824" custLinFactNeighborX="-1917" custLinFactNeighborY="-30008">
        <dgm:presLayoutVars>
          <dgm:chMax val="0"/>
          <dgm:chPref val="0"/>
          <dgm:bulletEnabled val="1"/>
        </dgm:presLayoutVars>
      </dgm:prSet>
      <dgm:spPr/>
      <dgm:t>
        <a:bodyPr/>
        <a:lstStyle/>
        <a:p>
          <a:endParaRPr lang="es-ES"/>
        </a:p>
      </dgm:t>
    </dgm:pt>
    <dgm:pt modelId="{76473AF4-73B1-4C7F-98BF-8BF30672E9EE}" type="pres">
      <dgm:prSet presAssocID="{6AB90574-5317-4731-A54E-04B25D442BCF}" presName="parentText3" presStyleLbl="node1" presStyleIdx="2" presStyleCnt="4" custScaleX="102065">
        <dgm:presLayoutVars>
          <dgm:chMax/>
          <dgm:chPref val="3"/>
          <dgm:bulletEnabled val="1"/>
        </dgm:presLayoutVars>
      </dgm:prSet>
      <dgm:spPr/>
      <dgm:t>
        <a:bodyPr/>
        <a:lstStyle/>
        <a:p>
          <a:endParaRPr lang="es-ES"/>
        </a:p>
      </dgm:t>
    </dgm:pt>
    <dgm:pt modelId="{AF44F4CD-03F9-4F4F-A3E0-E136D01B8FC2}" type="pres">
      <dgm:prSet presAssocID="{6AB90574-5317-4731-A54E-04B25D442BCF}" presName="childText3" presStyleLbl="solidAlignAcc1" presStyleIdx="2" presStyleCnt="4" custScaleX="94438" custScaleY="40573" custLinFactNeighborX="-2475" custLinFactNeighborY="-29831">
        <dgm:presLayoutVars>
          <dgm:chMax val="0"/>
          <dgm:chPref val="0"/>
          <dgm:bulletEnabled val="1"/>
        </dgm:presLayoutVars>
      </dgm:prSet>
      <dgm:spPr/>
      <dgm:t>
        <a:bodyPr/>
        <a:lstStyle/>
        <a:p>
          <a:endParaRPr lang="es-ES"/>
        </a:p>
      </dgm:t>
    </dgm:pt>
    <dgm:pt modelId="{EE05091F-8E19-4AC1-AE23-96A1CBE08840}" type="pres">
      <dgm:prSet presAssocID="{EC93F6B2-C9A2-4B77-9E62-957B8E2ABA7B}" presName="parentText4" presStyleLbl="node1" presStyleIdx="3" presStyleCnt="4" custScaleX="105802">
        <dgm:presLayoutVars>
          <dgm:chMax/>
          <dgm:chPref val="3"/>
          <dgm:bulletEnabled val="1"/>
        </dgm:presLayoutVars>
      </dgm:prSet>
      <dgm:spPr/>
      <dgm:t>
        <a:bodyPr/>
        <a:lstStyle/>
        <a:p>
          <a:endParaRPr lang="es-ES"/>
        </a:p>
      </dgm:t>
    </dgm:pt>
    <dgm:pt modelId="{B89A6D03-727A-432E-B821-E90375E9E235}" type="pres">
      <dgm:prSet presAssocID="{EC93F6B2-C9A2-4B77-9E62-957B8E2ABA7B}" presName="childText4" presStyleLbl="solidAlignAcc1" presStyleIdx="3" presStyleCnt="4" custScaleX="100389" custScaleY="41537" custLinFactNeighborX="553" custLinFactNeighborY="-29477">
        <dgm:presLayoutVars>
          <dgm:chMax val="0"/>
          <dgm:chPref val="0"/>
          <dgm:bulletEnabled val="1"/>
        </dgm:presLayoutVars>
      </dgm:prSet>
      <dgm:spPr/>
      <dgm:t>
        <a:bodyPr/>
        <a:lstStyle/>
        <a:p>
          <a:endParaRPr lang="es-ES"/>
        </a:p>
      </dgm:t>
    </dgm:pt>
  </dgm:ptLst>
  <dgm:cxnLst>
    <dgm:cxn modelId="{9788A080-F94A-4D94-9B57-3410E29A029C}" type="presOf" srcId="{82100A5E-A482-470F-A072-299074252201}" destId="{B89A6D03-727A-432E-B821-E90375E9E235}" srcOrd="0" destOrd="0" presId="urn:microsoft.com/office/officeart/2009/3/layout/IncreasingArrowsProcess"/>
    <dgm:cxn modelId="{8595F793-ED61-450C-9323-70EE048C0142}" type="presOf" srcId="{EC93F6B2-C9A2-4B77-9E62-957B8E2ABA7B}" destId="{EE05091F-8E19-4AC1-AE23-96A1CBE08840}" srcOrd="0" destOrd="0" presId="urn:microsoft.com/office/officeart/2009/3/layout/IncreasingArrowsProcess"/>
    <dgm:cxn modelId="{A157EFE7-D21B-4541-8CE9-74F96D826410}" srcId="{7D763B52-330A-4D08-9A6B-A78FFDA1BEF2}" destId="{EC93F6B2-C9A2-4B77-9E62-957B8E2ABA7B}" srcOrd="3" destOrd="0" parTransId="{25ECAFC1-DF33-4EC8-A7EF-19BEF8CB1953}" sibTransId="{A416BEDB-802E-4E48-8C40-4D8D3A5B9DDC}"/>
    <dgm:cxn modelId="{F78B7D84-7DA0-4F88-81C4-B1A1F28542F7}" srcId="{7D763B52-330A-4D08-9A6B-A78FFDA1BEF2}" destId="{ADA2656F-FF40-4B04-AED4-CBCC6FBF9414}" srcOrd="0" destOrd="0" parTransId="{88A301EE-9718-46CE-8FD0-329C69DE5771}" sibTransId="{8FAB2E41-4869-4AC2-AC06-E56B52073F55}"/>
    <dgm:cxn modelId="{B2D4867E-8C67-4BCE-BDA8-DD157614B8B5}" srcId="{6AB90574-5317-4731-A54E-04B25D442BCF}" destId="{71E2D804-A6F2-4C47-B274-DC57F517F255}" srcOrd="0" destOrd="0" parTransId="{348E66F3-B020-40C3-B5C7-FF7BCCB55DFD}" sibTransId="{C288D832-2605-4833-B19D-034F987DA66D}"/>
    <dgm:cxn modelId="{40DD6BDE-4F7B-42EB-9918-BC498DA7A790}" srcId="{ADA2656F-FF40-4B04-AED4-CBCC6FBF9414}" destId="{C5334D6E-7DD7-49BF-B32B-17651473D054}" srcOrd="0" destOrd="0" parTransId="{FDFB3332-CD2B-4077-99B7-9F730AE7FE96}" sibTransId="{87DA6C27-0C4F-4CEF-B297-588E0B24ABEB}"/>
    <dgm:cxn modelId="{A37FB785-5DCB-4A45-824E-499D672B498A}" type="presOf" srcId="{DC0FCABB-8A67-4320-A746-976361CC127B}" destId="{FAD92FF5-D4DB-4984-990E-7A3DBEA50811}" srcOrd="0" destOrd="0" presId="urn:microsoft.com/office/officeart/2009/3/layout/IncreasingArrowsProcess"/>
    <dgm:cxn modelId="{BC7A3CA8-C860-4E80-8E48-76EE50670330}" type="presOf" srcId="{6AB90574-5317-4731-A54E-04B25D442BCF}" destId="{76473AF4-73B1-4C7F-98BF-8BF30672E9EE}" srcOrd="0" destOrd="0" presId="urn:microsoft.com/office/officeart/2009/3/layout/IncreasingArrowsProcess"/>
    <dgm:cxn modelId="{E905B196-3987-4205-BE2F-2D6E409EFCE5}" srcId="{4A4774A4-BA18-4A4D-8446-F764021F5C6D}" destId="{DC0FCABB-8A67-4320-A746-976361CC127B}" srcOrd="0" destOrd="0" parTransId="{604D2BE7-E63D-4242-9571-119536C44790}" sibTransId="{55D0AFDC-1327-44B9-8F0F-EF798769CA64}"/>
    <dgm:cxn modelId="{6BA9805F-E079-41F6-8F67-2C9612BC1FB5}" srcId="{EC93F6B2-C9A2-4B77-9E62-957B8E2ABA7B}" destId="{82100A5E-A482-470F-A072-299074252201}" srcOrd="0" destOrd="0" parTransId="{ED3AC03A-836B-41BB-BEA4-2E27EE261060}" sibTransId="{A6340149-812F-454F-9DDA-219C03DDC138}"/>
    <dgm:cxn modelId="{500D17D6-15BB-48F9-9C77-258EDCBF90C8}" srcId="{7D763B52-330A-4D08-9A6B-A78FFDA1BEF2}" destId="{6AB90574-5317-4731-A54E-04B25D442BCF}" srcOrd="2" destOrd="0" parTransId="{5E0962CF-91AA-4335-A7E7-8FEE8D3432FE}" sibTransId="{12F10175-2B1D-42FA-A94B-124413C1523F}"/>
    <dgm:cxn modelId="{3635322F-763C-47BA-910E-50BFD1F2026F}" type="presOf" srcId="{ADA2656F-FF40-4B04-AED4-CBCC6FBF9414}" destId="{A77F9CC3-228E-44A0-98F3-5A3468F94551}" srcOrd="0" destOrd="0" presId="urn:microsoft.com/office/officeart/2009/3/layout/IncreasingArrowsProcess"/>
    <dgm:cxn modelId="{10B7D5AF-4321-45A1-A694-3D1B6674DE2F}" type="presOf" srcId="{71E2D804-A6F2-4C47-B274-DC57F517F255}" destId="{AF44F4CD-03F9-4F4F-A3E0-E136D01B8FC2}" srcOrd="0" destOrd="0" presId="urn:microsoft.com/office/officeart/2009/3/layout/IncreasingArrowsProcess"/>
    <dgm:cxn modelId="{F474FC16-0010-41D4-A4F4-7C24972FA12C}" type="presOf" srcId="{4A4774A4-BA18-4A4D-8446-F764021F5C6D}" destId="{84F3D130-436F-4E07-8644-D6A3FB4FABF6}" srcOrd="0" destOrd="0" presId="urn:microsoft.com/office/officeart/2009/3/layout/IncreasingArrowsProcess"/>
    <dgm:cxn modelId="{0A624368-1B8C-48FA-85BA-428448F199EB}" type="presOf" srcId="{7D763B52-330A-4D08-9A6B-A78FFDA1BEF2}" destId="{94C51DBE-507A-4FE8-93F5-E13F7238627C}" srcOrd="0" destOrd="0" presId="urn:microsoft.com/office/officeart/2009/3/layout/IncreasingArrowsProcess"/>
    <dgm:cxn modelId="{50750755-F8A3-42B7-AA56-0CE7E1D04504}" srcId="{7D763B52-330A-4D08-9A6B-A78FFDA1BEF2}" destId="{4A4774A4-BA18-4A4D-8446-F764021F5C6D}" srcOrd="1" destOrd="0" parTransId="{57C019F7-FB85-4A7E-B231-84299B050378}" sibTransId="{207CC195-B626-4804-8D80-14BDC5A3E8AE}"/>
    <dgm:cxn modelId="{55B88B80-627E-4BCE-8EA8-358BE62E6665}" type="presOf" srcId="{C5334D6E-7DD7-49BF-B32B-17651473D054}" destId="{11515CDA-337D-428F-A74F-62354093E587}" srcOrd="0" destOrd="0" presId="urn:microsoft.com/office/officeart/2009/3/layout/IncreasingArrowsProcess"/>
    <dgm:cxn modelId="{873B6299-8596-48C3-B42D-ED0C99673AF1}" type="presParOf" srcId="{94C51DBE-507A-4FE8-93F5-E13F7238627C}" destId="{A77F9CC3-228E-44A0-98F3-5A3468F94551}" srcOrd="0" destOrd="0" presId="urn:microsoft.com/office/officeart/2009/3/layout/IncreasingArrowsProcess"/>
    <dgm:cxn modelId="{3362BEF4-4585-4072-89A0-BC5323F64E8E}" type="presParOf" srcId="{94C51DBE-507A-4FE8-93F5-E13F7238627C}" destId="{11515CDA-337D-428F-A74F-62354093E587}" srcOrd="1" destOrd="0" presId="urn:microsoft.com/office/officeart/2009/3/layout/IncreasingArrowsProcess"/>
    <dgm:cxn modelId="{65E752EF-002E-4586-90C0-35FF66EE2BA6}" type="presParOf" srcId="{94C51DBE-507A-4FE8-93F5-E13F7238627C}" destId="{84F3D130-436F-4E07-8644-D6A3FB4FABF6}" srcOrd="2" destOrd="0" presId="urn:microsoft.com/office/officeart/2009/3/layout/IncreasingArrowsProcess"/>
    <dgm:cxn modelId="{A77F4722-C4B9-4DB7-A49D-C2F72E396AF0}" type="presParOf" srcId="{94C51DBE-507A-4FE8-93F5-E13F7238627C}" destId="{FAD92FF5-D4DB-4984-990E-7A3DBEA50811}" srcOrd="3" destOrd="0" presId="urn:microsoft.com/office/officeart/2009/3/layout/IncreasingArrowsProcess"/>
    <dgm:cxn modelId="{242DF2DF-FC02-4839-9CAE-638DDB60B928}" type="presParOf" srcId="{94C51DBE-507A-4FE8-93F5-E13F7238627C}" destId="{76473AF4-73B1-4C7F-98BF-8BF30672E9EE}" srcOrd="4" destOrd="0" presId="urn:microsoft.com/office/officeart/2009/3/layout/IncreasingArrowsProcess"/>
    <dgm:cxn modelId="{3ABE8BA7-4217-46E0-A2B6-7C0679B723FB}" type="presParOf" srcId="{94C51DBE-507A-4FE8-93F5-E13F7238627C}" destId="{AF44F4CD-03F9-4F4F-A3E0-E136D01B8FC2}" srcOrd="5" destOrd="0" presId="urn:microsoft.com/office/officeart/2009/3/layout/IncreasingArrowsProcess"/>
    <dgm:cxn modelId="{98CA2F9C-E0CF-4C16-8914-047B335E59F2}" type="presParOf" srcId="{94C51DBE-507A-4FE8-93F5-E13F7238627C}" destId="{EE05091F-8E19-4AC1-AE23-96A1CBE08840}" srcOrd="6" destOrd="0" presId="urn:microsoft.com/office/officeart/2009/3/layout/IncreasingArrowsProcess"/>
    <dgm:cxn modelId="{7BC0FBA8-2A8B-45E8-A305-D211741FFF02}" type="presParOf" srcId="{94C51DBE-507A-4FE8-93F5-E13F7238627C}" destId="{B89A6D03-727A-432E-B821-E90375E9E235}" srcOrd="7" destOrd="0" presId="urn:microsoft.com/office/officeart/2009/3/layout/IncreasingArrows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F9CC3-228E-44A0-98F3-5A3468F94551}">
      <dsp:nvSpPr>
        <dsp:cNvPr id="0" name=""/>
        <dsp:cNvSpPr/>
      </dsp:nvSpPr>
      <dsp:spPr>
        <a:xfrm>
          <a:off x="25021" y="351891"/>
          <a:ext cx="5591143" cy="813986"/>
        </a:xfrm>
        <a:prstGeom prst="rightArrow">
          <a:avLst>
            <a:gd name="adj1" fmla="val 50000"/>
            <a:gd name="adj2"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lvl="0" algn="l" defTabSz="488950">
            <a:lnSpc>
              <a:spcPct val="90000"/>
            </a:lnSpc>
            <a:spcBef>
              <a:spcPct val="0"/>
            </a:spcBef>
            <a:spcAft>
              <a:spcPct val="35000"/>
            </a:spcAft>
          </a:pPr>
          <a:r>
            <a:rPr lang="es-MX" sz="1100" b="1" kern="1200">
              <a:solidFill>
                <a:sysClr val="windowText" lastClr="000000"/>
              </a:solidFill>
              <a:latin typeface="Century Gothic" pitchFamily="34" charset="0"/>
            </a:rPr>
            <a:t>Plan Nacional de Desarrollo 2013-2018 </a:t>
          </a:r>
        </a:p>
      </dsp:txBody>
      <dsp:txXfrm>
        <a:off x="25021" y="555388"/>
        <a:ext cx="5387647" cy="406993"/>
      </dsp:txXfrm>
    </dsp:sp>
    <dsp:sp modelId="{11515CDA-337D-428F-A74F-62354093E587}">
      <dsp:nvSpPr>
        <dsp:cNvPr id="0" name=""/>
        <dsp:cNvSpPr/>
      </dsp:nvSpPr>
      <dsp:spPr>
        <a:xfrm>
          <a:off x="38315" y="996142"/>
          <a:ext cx="1240906" cy="551572"/>
        </a:xfrm>
        <a:prstGeom prst="rect">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Century Gothic" pitchFamily="34" charset="0"/>
            </a:rPr>
            <a:t>"México con Educación de Calidad"</a:t>
          </a:r>
        </a:p>
      </dsp:txBody>
      <dsp:txXfrm>
        <a:off x="38315" y="996142"/>
        <a:ext cx="1240906" cy="551572"/>
      </dsp:txXfrm>
    </dsp:sp>
    <dsp:sp modelId="{84F3D130-436F-4E07-8644-D6A3FB4FABF6}">
      <dsp:nvSpPr>
        <dsp:cNvPr id="0" name=""/>
        <dsp:cNvSpPr/>
      </dsp:nvSpPr>
      <dsp:spPr>
        <a:xfrm>
          <a:off x="1313780" y="623123"/>
          <a:ext cx="4302384" cy="813986"/>
        </a:xfrm>
        <a:prstGeom prst="rightArrow">
          <a:avLst>
            <a:gd name="adj1" fmla="val 50000"/>
            <a:gd name="adj2" fmla="val 5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lvl="0" algn="l" defTabSz="488950">
            <a:lnSpc>
              <a:spcPct val="90000"/>
            </a:lnSpc>
            <a:spcBef>
              <a:spcPct val="0"/>
            </a:spcBef>
            <a:spcAft>
              <a:spcPct val="35000"/>
            </a:spcAft>
          </a:pPr>
          <a:r>
            <a:rPr lang="es-MX" sz="1100" b="1" kern="1200">
              <a:solidFill>
                <a:sysClr val="windowText" lastClr="000000"/>
              </a:solidFill>
              <a:latin typeface="Century Gothic" pitchFamily="34" charset="0"/>
            </a:rPr>
            <a:t>Programa Nacional Sectorial</a:t>
          </a:r>
        </a:p>
      </dsp:txBody>
      <dsp:txXfrm>
        <a:off x="1313780" y="826620"/>
        <a:ext cx="4098888" cy="406993"/>
      </dsp:txXfrm>
    </dsp:sp>
    <dsp:sp modelId="{FAD92FF5-D4DB-4984-990E-7A3DBEA50811}">
      <dsp:nvSpPr>
        <dsp:cNvPr id="0" name=""/>
        <dsp:cNvSpPr/>
      </dsp:nvSpPr>
      <dsp:spPr>
        <a:xfrm>
          <a:off x="1315455" y="1253326"/>
          <a:ext cx="1235996" cy="584318"/>
        </a:xfrm>
        <a:prstGeom prst="rect">
          <a:avLst/>
        </a:prstGeom>
        <a:solidFill>
          <a:schemeClr val="lt1">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Century Gothic" pitchFamily="34" charset="0"/>
            </a:rPr>
            <a:t>"Programa Sectorial de Educación 2013-2018"</a:t>
          </a:r>
        </a:p>
      </dsp:txBody>
      <dsp:txXfrm>
        <a:off x="1315455" y="1253326"/>
        <a:ext cx="1235996" cy="584318"/>
      </dsp:txXfrm>
    </dsp:sp>
    <dsp:sp modelId="{76473AF4-73B1-4C7F-98BF-8BF30672E9EE}">
      <dsp:nvSpPr>
        <dsp:cNvPr id="0" name=""/>
        <dsp:cNvSpPr/>
      </dsp:nvSpPr>
      <dsp:spPr>
        <a:xfrm>
          <a:off x="2571423" y="894356"/>
          <a:ext cx="3075857" cy="813986"/>
        </a:xfrm>
        <a:prstGeom prst="rightArrow">
          <a:avLst>
            <a:gd name="adj1" fmla="val 50000"/>
            <a:gd name="adj2" fmla="val 5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lvl="0" algn="l" defTabSz="488950">
            <a:lnSpc>
              <a:spcPct val="90000"/>
            </a:lnSpc>
            <a:spcBef>
              <a:spcPct val="0"/>
            </a:spcBef>
            <a:spcAft>
              <a:spcPct val="35000"/>
            </a:spcAft>
          </a:pPr>
          <a:r>
            <a:rPr lang="es-MX" sz="1100" b="1" kern="1200">
              <a:solidFill>
                <a:sysClr val="windowText" lastClr="000000"/>
              </a:solidFill>
              <a:latin typeface="Century Gothic" pitchFamily="34" charset="0"/>
            </a:rPr>
            <a:t>Plan Estatal de Desarrollo 2014-2019  </a:t>
          </a:r>
        </a:p>
      </dsp:txBody>
      <dsp:txXfrm>
        <a:off x="2571423" y="1097853"/>
        <a:ext cx="2872361" cy="406993"/>
      </dsp:txXfrm>
    </dsp:sp>
    <dsp:sp modelId="{AF44F4CD-03F9-4F4F-A3E0-E136D01B8FC2}">
      <dsp:nvSpPr>
        <dsp:cNvPr id="0" name=""/>
        <dsp:cNvSpPr/>
      </dsp:nvSpPr>
      <dsp:spPr>
        <a:xfrm>
          <a:off x="2606482" y="1521649"/>
          <a:ext cx="1217077" cy="599289"/>
        </a:xfrm>
        <a:prstGeom prst="rect">
          <a:avLst/>
        </a:prstGeom>
        <a:solidFill>
          <a:schemeClr val="lt1">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Century Gothic" pitchFamily="34" charset="0"/>
            </a:rPr>
            <a:t>"Educación para la Vida"</a:t>
          </a:r>
        </a:p>
      </dsp:txBody>
      <dsp:txXfrm>
        <a:off x="2606482" y="1521649"/>
        <a:ext cx="1217077" cy="599289"/>
      </dsp:txXfrm>
    </dsp:sp>
    <dsp:sp modelId="{EE05091F-8E19-4AC1-AE23-96A1CBE08840}">
      <dsp:nvSpPr>
        <dsp:cNvPr id="0" name=""/>
        <dsp:cNvSpPr/>
      </dsp:nvSpPr>
      <dsp:spPr>
        <a:xfrm>
          <a:off x="3841258" y="1165589"/>
          <a:ext cx="1824944" cy="813986"/>
        </a:xfrm>
        <a:prstGeom prst="rightArrow">
          <a:avLst>
            <a:gd name="adj1" fmla="val 50000"/>
            <a:gd name="adj2" fmla="val 5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9220" numCol="1" spcCol="1270" anchor="ctr" anchorCtr="0">
          <a:noAutofit/>
        </a:bodyPr>
        <a:lstStyle/>
        <a:p>
          <a:pPr lvl="0" algn="l" defTabSz="488950">
            <a:lnSpc>
              <a:spcPct val="90000"/>
            </a:lnSpc>
            <a:spcBef>
              <a:spcPct val="0"/>
            </a:spcBef>
            <a:spcAft>
              <a:spcPct val="35000"/>
            </a:spcAft>
          </a:pPr>
          <a:r>
            <a:rPr lang="es-MX" sz="1100" b="1" kern="1200">
              <a:solidFill>
                <a:sysClr val="windowText" lastClr="000000"/>
              </a:solidFill>
              <a:latin typeface="Century Gothic" pitchFamily="34" charset="0"/>
            </a:rPr>
            <a:t>Programa Sectorial Estatal </a:t>
          </a:r>
        </a:p>
      </dsp:txBody>
      <dsp:txXfrm>
        <a:off x="3841258" y="1369086"/>
        <a:ext cx="1621448" cy="406993"/>
      </dsp:txXfrm>
    </dsp:sp>
    <dsp:sp modelId="{B89A6D03-727A-432E-B821-E90375E9E235}">
      <dsp:nvSpPr>
        <dsp:cNvPr id="0" name=""/>
        <dsp:cNvSpPr/>
      </dsp:nvSpPr>
      <dsp:spPr>
        <a:xfrm>
          <a:off x="3895959" y="1790949"/>
          <a:ext cx="1305558" cy="620719"/>
        </a:xfrm>
        <a:prstGeom prst="rect">
          <a:avLst/>
        </a:prstGeom>
        <a:solidFill>
          <a:schemeClr val="lt1">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a:lnSpc>
              <a:spcPct val="90000"/>
            </a:lnSpc>
            <a:spcBef>
              <a:spcPct val="0"/>
            </a:spcBef>
            <a:spcAft>
              <a:spcPct val="35000"/>
            </a:spcAft>
          </a:pPr>
          <a:r>
            <a:rPr lang="es-MX" sz="900" kern="1200">
              <a:solidFill>
                <a:sysClr val="windowText" lastClr="000000"/>
              </a:solidFill>
              <a:latin typeface="Century Gothic" pitchFamily="34" charset="0"/>
            </a:rPr>
            <a:t>"Programa de Educación BC 2015-2018"</a:t>
          </a:r>
        </a:p>
      </dsp:txBody>
      <dsp:txXfrm>
        <a:off x="3895959" y="1790949"/>
        <a:ext cx="1305558" cy="62071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3EB3C5986848F7AABA613AA725B725"/>
        <w:category>
          <w:name w:val="General"/>
          <w:gallery w:val="placeholder"/>
        </w:category>
        <w:types>
          <w:type w:val="bbPlcHdr"/>
        </w:types>
        <w:behaviors>
          <w:behavior w:val="content"/>
        </w:behaviors>
        <w:guid w:val="{70E60947-29A1-4370-A97A-B8C2B6FB5543}"/>
      </w:docPartPr>
      <w:docPartBody>
        <w:p w:rsidR="004F6750" w:rsidRDefault="004F6750" w:rsidP="004F6750">
          <w:pPr>
            <w:pStyle w:val="953EB3C5986848F7AABA613AA725B725"/>
          </w:pPr>
          <w:r>
            <w:rPr>
              <w:color w:val="FFFFFF" w:themeColor="background1"/>
              <w:sz w:val="28"/>
              <w:szCs w:val="28"/>
            </w:rPr>
            <w:t>[Type the document title]</w:t>
          </w:r>
        </w:p>
      </w:docPartBody>
    </w:docPart>
    <w:docPart>
      <w:docPartPr>
        <w:name w:val="101A472386B2457AAAFE8247504ADF89"/>
        <w:category>
          <w:name w:val="General"/>
          <w:gallery w:val="placeholder"/>
        </w:category>
        <w:types>
          <w:type w:val="bbPlcHdr"/>
        </w:types>
        <w:behaviors>
          <w:behavior w:val="content"/>
        </w:behaviors>
        <w:guid w:val="{ECA0B944-112D-4AAD-8F96-C7415E75AF05}"/>
      </w:docPartPr>
      <w:docPartBody>
        <w:p w:rsidR="004F6750" w:rsidRDefault="004F6750" w:rsidP="004F6750">
          <w:pPr>
            <w:pStyle w:val="101A472386B2457AAAFE8247504ADF8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878F7"/>
    <w:rsid w:val="000669A6"/>
    <w:rsid w:val="004F6750"/>
    <w:rsid w:val="005270D7"/>
    <w:rsid w:val="005878F7"/>
    <w:rsid w:val="006402F5"/>
    <w:rsid w:val="00C73049"/>
    <w:rsid w:val="00D611F4"/>
    <w:rsid w:val="00DA5237"/>
    <w:rsid w:val="00E013B9"/>
    <w:rsid w:val="00E612DB"/>
    <w:rsid w:val="00F23C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CB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9DE7B62E7444B7BB1F9442FA20012F7">
    <w:name w:val="69DE7B62E7444B7BB1F9442FA20012F7"/>
    <w:rsid w:val="005878F7"/>
  </w:style>
  <w:style w:type="paragraph" w:customStyle="1" w:styleId="9E29983B45FC4A91B84CCF03D5CC05B7">
    <w:name w:val="9E29983B45FC4A91B84CCF03D5CC05B7"/>
    <w:rsid w:val="005878F7"/>
  </w:style>
  <w:style w:type="paragraph" w:customStyle="1" w:styleId="9D4E5524838643ED89F826AEAE74B662">
    <w:name w:val="9D4E5524838643ED89F826AEAE74B662"/>
    <w:rsid w:val="005878F7"/>
  </w:style>
  <w:style w:type="paragraph" w:customStyle="1" w:styleId="D080FBAE092B4F7A8B2B0AB408D07B3F">
    <w:name w:val="D080FBAE092B4F7A8B2B0AB408D07B3F"/>
    <w:rsid w:val="005878F7"/>
  </w:style>
  <w:style w:type="paragraph" w:customStyle="1" w:styleId="9F35F5DF44264DACA83CF820B6A16C05">
    <w:name w:val="9F35F5DF44264DACA83CF820B6A16C05"/>
    <w:rsid w:val="005878F7"/>
  </w:style>
  <w:style w:type="paragraph" w:customStyle="1" w:styleId="7D32928593EE4767A74D399BAB95A7C9">
    <w:name w:val="7D32928593EE4767A74D399BAB95A7C9"/>
    <w:rsid w:val="004F6750"/>
  </w:style>
  <w:style w:type="paragraph" w:customStyle="1" w:styleId="7758CE1CDD6940DF8BD1AA6FD13D3A42">
    <w:name w:val="7758CE1CDD6940DF8BD1AA6FD13D3A42"/>
    <w:rsid w:val="004F6750"/>
  </w:style>
  <w:style w:type="paragraph" w:customStyle="1" w:styleId="7BB01FBD89B0451B825805152810D273">
    <w:name w:val="7BB01FBD89B0451B825805152810D273"/>
    <w:rsid w:val="004F6750"/>
  </w:style>
  <w:style w:type="paragraph" w:customStyle="1" w:styleId="953EB3C5986848F7AABA613AA725B725">
    <w:name w:val="953EB3C5986848F7AABA613AA725B725"/>
    <w:rsid w:val="004F6750"/>
  </w:style>
  <w:style w:type="paragraph" w:customStyle="1" w:styleId="484E09517B6C4B7983585CB6E95272B1">
    <w:name w:val="484E09517B6C4B7983585CB6E95272B1"/>
    <w:rsid w:val="004F6750"/>
  </w:style>
  <w:style w:type="paragraph" w:customStyle="1" w:styleId="101A472386B2457AAAFE8247504ADF89">
    <w:name w:val="101A472386B2457AAAFE8247504ADF89"/>
    <w:rsid w:val="004F67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B72FB4-ED10-4A50-BD16-06C9C8D2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7894</Words>
  <Characters>43419</Characters>
  <Application>Microsoft Office Word</Application>
  <DocSecurity>0</DocSecurity>
  <Lines>361</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Fondo de Aportaciones para la Nómina Educativa y el Gasto Operativo (FONE)</vt:lpstr>
      <vt:lpstr>PROGRAMA NACIONAL DE PREVENCIÓN DEL DELITO (PRONAPRED)</vt:lpstr>
    </vt:vector>
  </TitlesOfParts>
  <Company>Toshiba</Company>
  <LinksUpToDate>false</LinksUpToDate>
  <CharactersWithSpaces>51211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Aportaciones para la Nómina Educativa y el Gasto Operativo (FONE)</dc:title>
  <dc:creator>Ahora Soluciones</dc:creator>
  <cp:lastModifiedBy>JORGEGOMEZ</cp:lastModifiedBy>
  <cp:revision>4</cp:revision>
  <cp:lastPrinted>2017-11-22T01:05:00Z</cp:lastPrinted>
  <dcterms:created xsi:type="dcterms:W3CDTF">2017-11-22T01:13:00Z</dcterms:created>
  <dcterms:modified xsi:type="dcterms:W3CDTF">2017-11-22T01:14:00Z</dcterms:modified>
</cp:coreProperties>
</file>